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Times New Roman" w:hAnsi="Times New Roman" w:eastAsia="仿宋" w:cs="Times New Roman"/>
          <w:color w:val="auto"/>
          <w:sz w:val="36"/>
          <w:szCs w:val="36"/>
          <w:lang w:eastAsia="zh-CN"/>
        </w:rPr>
        <w:sectPr>
          <w:pgSz w:w="12240" w:h="15840"/>
          <w:pgMar w:top="1440" w:right="1800" w:bottom="1440" w:left="1800" w:header="720" w:footer="720" w:gutter="0"/>
          <w:pgBorders>
            <w:top w:val="none" w:sz="0" w:space="0"/>
            <w:left w:val="none" w:sz="0" w:space="0"/>
            <w:bottom w:val="none" w:sz="0" w:space="0"/>
            <w:right w:val="none" w:sz="0" w:space="0"/>
          </w:pgBorders>
          <w:pgNumType w:fmt="decimal"/>
          <w:cols w:space="720" w:num="1"/>
        </w:sectPr>
      </w:pPr>
    </w:p>
    <w:p>
      <w:pPr>
        <w:jc w:val="right"/>
        <w:rPr>
          <w:rFonts w:hint="default" w:ascii="Times New Roman" w:hAnsi="Times New Roman" w:eastAsia="仿宋" w:cs="Times New Roman"/>
          <w:color w:val="auto"/>
          <w:sz w:val="36"/>
          <w:szCs w:val="36"/>
          <w:lang w:val="en-US" w:eastAsia="zh-CN"/>
        </w:rPr>
      </w:pPr>
      <w:r>
        <w:rPr>
          <w:rFonts w:hint="eastAsia" w:ascii="Times New Roman" w:hAnsi="Times New Roman" w:eastAsia="仿宋" w:cs="Times New Roman"/>
          <w:color w:val="auto"/>
          <w:sz w:val="36"/>
          <w:szCs w:val="36"/>
          <w:lang w:eastAsia="zh-CN"/>
        </w:rPr>
        <w:t>应急预案</w:t>
      </w:r>
      <w:r>
        <w:rPr>
          <w:rFonts w:ascii="Times New Roman" w:hAnsi="仿宋" w:eastAsia="仿宋" w:cs="Times New Roman"/>
          <w:color w:val="auto"/>
          <w:sz w:val="36"/>
          <w:szCs w:val="36"/>
        </w:rPr>
        <w:t>版本号：</w:t>
      </w:r>
      <w:r>
        <w:rPr>
          <w:rFonts w:hint="eastAsia" w:ascii="Times New Roman" w:hAnsi="Times New Roman" w:eastAsia="仿宋" w:cs="Times New Roman"/>
          <w:color w:val="auto"/>
          <w:sz w:val="36"/>
          <w:szCs w:val="36"/>
          <w:lang w:val="en-US" w:eastAsia="zh-CN"/>
        </w:rPr>
        <w:t>CLJCKJ-001</w:t>
      </w:r>
    </w:p>
    <w:p>
      <w:pPr>
        <w:jc w:val="center"/>
        <w:rPr>
          <w:rFonts w:hint="eastAsia" w:ascii="仿宋" w:hAnsi="仿宋" w:eastAsia="仿宋"/>
          <w:color w:val="auto"/>
          <w:spacing w:val="2"/>
          <w:sz w:val="52"/>
          <w:szCs w:val="52"/>
        </w:rPr>
      </w:pPr>
    </w:p>
    <w:p>
      <w:pPr>
        <w:jc w:val="center"/>
        <w:rPr>
          <w:rFonts w:hint="eastAsia" w:ascii="仿宋" w:hAnsi="仿宋" w:eastAsia="仿宋"/>
          <w:color w:val="auto"/>
          <w:spacing w:val="2"/>
          <w:sz w:val="52"/>
          <w:szCs w:val="52"/>
        </w:rPr>
      </w:pPr>
    </w:p>
    <w:p>
      <w:pPr>
        <w:jc w:val="center"/>
        <w:rPr>
          <w:rFonts w:hint="eastAsia" w:ascii="仿宋" w:hAnsi="仿宋" w:eastAsia="仿宋"/>
          <w:color w:val="auto"/>
          <w:spacing w:val="2"/>
          <w:sz w:val="52"/>
          <w:szCs w:val="52"/>
        </w:rPr>
      </w:pPr>
    </w:p>
    <w:p>
      <w:pPr>
        <w:spacing w:line="360" w:lineRule="auto"/>
        <w:jc w:val="center"/>
        <w:rPr>
          <w:rFonts w:hint="eastAsia" w:ascii="仿宋" w:hAnsi="仿宋" w:eastAsia="仿宋"/>
          <w:color w:val="auto"/>
          <w:spacing w:val="2"/>
          <w:sz w:val="52"/>
          <w:szCs w:val="52"/>
        </w:rPr>
      </w:pPr>
    </w:p>
    <w:p>
      <w:pPr>
        <w:spacing w:line="360" w:lineRule="auto"/>
        <w:jc w:val="center"/>
        <w:rPr>
          <w:rFonts w:hint="eastAsia" w:ascii="仿宋" w:hAnsi="仿宋" w:eastAsia="仿宋"/>
          <w:b/>
          <w:bCs/>
          <w:color w:val="auto"/>
          <w:spacing w:val="2"/>
          <w:sz w:val="52"/>
          <w:szCs w:val="52"/>
        </w:rPr>
      </w:pPr>
      <w:r>
        <w:rPr>
          <w:rFonts w:hint="eastAsia" w:ascii="仿宋" w:hAnsi="仿宋" w:eastAsia="仿宋"/>
          <w:b/>
          <w:bCs/>
          <w:color w:val="auto"/>
          <w:spacing w:val="2"/>
          <w:sz w:val="52"/>
          <w:szCs w:val="52"/>
        </w:rPr>
        <w:t>江苏超力建材科技有限公司</w:t>
      </w:r>
    </w:p>
    <w:p>
      <w:pPr>
        <w:spacing w:line="360" w:lineRule="auto"/>
        <w:jc w:val="center"/>
        <w:rPr>
          <w:rFonts w:hint="eastAsia" w:ascii="仿宋" w:hAnsi="仿宋" w:eastAsia="仿宋"/>
          <w:b/>
          <w:bCs/>
          <w:color w:val="auto"/>
          <w:sz w:val="52"/>
          <w:szCs w:val="52"/>
        </w:rPr>
      </w:pPr>
      <w:r>
        <w:rPr>
          <w:rFonts w:hint="eastAsia" w:ascii="仿宋" w:hAnsi="仿宋" w:eastAsia="仿宋"/>
          <w:b/>
          <w:bCs/>
          <w:color w:val="auto"/>
          <w:spacing w:val="2"/>
          <w:sz w:val="52"/>
          <w:szCs w:val="52"/>
        </w:rPr>
        <w:t>突发</w:t>
      </w:r>
      <w:r>
        <w:rPr>
          <w:rFonts w:hint="eastAsia" w:ascii="仿宋" w:hAnsi="仿宋" w:eastAsia="仿宋"/>
          <w:b/>
          <w:bCs/>
          <w:color w:val="auto"/>
          <w:spacing w:val="4"/>
          <w:sz w:val="52"/>
          <w:szCs w:val="52"/>
        </w:rPr>
        <w:t>环</w:t>
      </w:r>
      <w:r>
        <w:rPr>
          <w:rFonts w:hint="eastAsia" w:ascii="仿宋" w:hAnsi="仿宋" w:eastAsia="仿宋"/>
          <w:b/>
          <w:bCs/>
          <w:color w:val="auto"/>
          <w:spacing w:val="2"/>
          <w:sz w:val="52"/>
          <w:szCs w:val="52"/>
        </w:rPr>
        <w:t>境事件应急</w:t>
      </w:r>
      <w:r>
        <w:rPr>
          <w:rFonts w:hint="eastAsia" w:ascii="仿宋" w:hAnsi="仿宋" w:eastAsia="仿宋"/>
          <w:b/>
          <w:bCs/>
          <w:color w:val="auto"/>
          <w:spacing w:val="4"/>
          <w:sz w:val="52"/>
          <w:szCs w:val="52"/>
        </w:rPr>
        <w:t>预</w:t>
      </w:r>
      <w:r>
        <w:rPr>
          <w:rFonts w:hint="eastAsia" w:ascii="仿宋" w:hAnsi="仿宋" w:eastAsia="仿宋"/>
          <w:b/>
          <w:bCs/>
          <w:color w:val="auto"/>
          <w:sz w:val="52"/>
          <w:szCs w:val="52"/>
        </w:rPr>
        <w:t>案</w:t>
      </w:r>
    </w:p>
    <w:p>
      <w:pPr>
        <w:jc w:val="center"/>
        <w:rPr>
          <w:rFonts w:hint="eastAsia" w:ascii="仿宋" w:hAnsi="仿宋" w:eastAsia="仿宋"/>
          <w:color w:val="auto"/>
          <w:sz w:val="72"/>
          <w:szCs w:val="72"/>
        </w:rPr>
      </w:pPr>
    </w:p>
    <w:p>
      <w:pPr>
        <w:jc w:val="center"/>
        <w:rPr>
          <w:rFonts w:hint="eastAsia" w:ascii="仿宋" w:hAnsi="仿宋" w:eastAsia="仿宋"/>
          <w:color w:val="auto"/>
          <w:sz w:val="72"/>
          <w:szCs w:val="72"/>
        </w:rPr>
      </w:pPr>
    </w:p>
    <w:p>
      <w:pPr>
        <w:jc w:val="center"/>
        <w:rPr>
          <w:rFonts w:hint="eastAsia" w:ascii="仿宋" w:hAnsi="仿宋" w:eastAsia="仿宋"/>
          <w:color w:val="auto"/>
          <w:sz w:val="72"/>
          <w:szCs w:val="72"/>
        </w:rPr>
      </w:pPr>
    </w:p>
    <w:p>
      <w:pPr>
        <w:spacing w:line="360" w:lineRule="auto"/>
        <w:jc w:val="center"/>
        <w:rPr>
          <w:rFonts w:hint="eastAsia" w:ascii="仿宋" w:hAnsi="仿宋" w:eastAsia="仿宋"/>
          <w:color w:val="auto"/>
          <w:sz w:val="72"/>
          <w:szCs w:val="72"/>
        </w:rPr>
      </w:pPr>
    </w:p>
    <w:p>
      <w:pPr>
        <w:spacing w:line="360" w:lineRule="auto"/>
        <w:ind w:left="7"/>
        <w:jc w:val="center"/>
        <w:rPr>
          <w:rFonts w:ascii="仿宋" w:hAnsi="仿宋" w:eastAsia="仿宋"/>
          <w:color w:val="auto"/>
          <w:spacing w:val="-1"/>
          <w:sz w:val="36"/>
          <w:szCs w:val="36"/>
        </w:rPr>
      </w:pPr>
      <w:r>
        <w:rPr>
          <w:rFonts w:hint="eastAsia" w:ascii="仿宋" w:hAnsi="仿宋" w:eastAsia="仿宋"/>
          <w:color w:val="auto"/>
          <w:spacing w:val="-1"/>
          <w:sz w:val="36"/>
          <w:szCs w:val="36"/>
        </w:rPr>
        <w:t>编制单位： 江苏超力建材科技有限公司</w:t>
      </w:r>
    </w:p>
    <w:p>
      <w:pPr>
        <w:spacing w:line="360" w:lineRule="auto"/>
        <w:jc w:val="center"/>
        <w:rPr>
          <w:rFonts w:hint="default" w:ascii="Times New Roman" w:hAnsi="Times New Roman" w:cs="Times New Roman"/>
          <w:color w:val="auto"/>
          <w:u w:val="single"/>
        </w:rPr>
      </w:pPr>
      <w:r>
        <w:rPr>
          <w:rFonts w:hint="default" w:ascii="Times New Roman" w:hAnsi="Times New Roman" w:eastAsia="仿宋" w:cs="Times New Roman"/>
          <w:color w:val="auto"/>
          <w:spacing w:val="-1"/>
          <w:sz w:val="36"/>
          <w:szCs w:val="36"/>
          <w:u w:val="single"/>
        </w:rPr>
        <w:t>2019年  月</w:t>
      </w:r>
      <w:r>
        <w:rPr>
          <w:rFonts w:hint="default" w:ascii="Times New Roman" w:hAnsi="Times New Roman" w:eastAsia="仿宋" w:cs="Times New Roman"/>
          <w:color w:val="auto"/>
          <w:spacing w:val="-1"/>
          <w:sz w:val="36"/>
          <w:szCs w:val="36"/>
          <w:u w:val="single"/>
          <w:lang w:val="en-US" w:eastAsia="zh-CN"/>
        </w:rPr>
        <w:t xml:space="preserve"> </w:t>
      </w:r>
      <w:r>
        <w:rPr>
          <w:rFonts w:hint="default" w:ascii="Times New Roman" w:hAnsi="Times New Roman" w:eastAsia="仿宋" w:cs="Times New Roman"/>
          <w:color w:val="auto"/>
          <w:spacing w:val="-1"/>
          <w:sz w:val="36"/>
          <w:szCs w:val="36"/>
          <w:u w:val="single"/>
        </w:rPr>
        <w:t xml:space="preserve"> 日  发布 </w:t>
      </w:r>
      <w:r>
        <w:rPr>
          <w:rFonts w:hint="default" w:ascii="Times New Roman" w:hAnsi="Times New Roman" w:eastAsia="仿宋" w:cs="Times New Roman"/>
          <w:color w:val="auto"/>
          <w:spacing w:val="-1"/>
          <w:sz w:val="36"/>
          <w:szCs w:val="36"/>
          <w:u w:val="single"/>
          <w:lang w:val="en-US" w:eastAsia="zh-CN"/>
        </w:rPr>
        <w:t xml:space="preserve">    </w:t>
      </w:r>
      <w:r>
        <w:rPr>
          <w:rFonts w:hint="default" w:ascii="Times New Roman" w:hAnsi="Times New Roman" w:eastAsia="仿宋" w:cs="Times New Roman"/>
          <w:color w:val="auto"/>
          <w:spacing w:val="-1"/>
          <w:sz w:val="36"/>
          <w:szCs w:val="36"/>
          <w:u w:val="single"/>
        </w:rPr>
        <w:t xml:space="preserve">   2019年  月 </w:t>
      </w:r>
      <w:r>
        <w:rPr>
          <w:rFonts w:hint="default" w:ascii="Times New Roman" w:hAnsi="Times New Roman" w:eastAsia="仿宋" w:cs="Times New Roman"/>
          <w:color w:val="auto"/>
          <w:spacing w:val="-1"/>
          <w:sz w:val="36"/>
          <w:szCs w:val="36"/>
          <w:u w:val="single"/>
          <w:lang w:val="en-US" w:eastAsia="zh-CN"/>
        </w:rPr>
        <w:t xml:space="preserve"> </w:t>
      </w:r>
      <w:r>
        <w:rPr>
          <w:rFonts w:hint="default" w:ascii="Times New Roman" w:hAnsi="Times New Roman" w:eastAsia="仿宋" w:cs="Times New Roman"/>
          <w:color w:val="auto"/>
          <w:spacing w:val="-1"/>
          <w:sz w:val="36"/>
          <w:szCs w:val="36"/>
          <w:u w:val="single"/>
        </w:rPr>
        <w:t>日实施</w:t>
      </w:r>
    </w:p>
    <w:p>
      <w:pPr>
        <w:spacing w:line="360" w:lineRule="auto"/>
        <w:jc w:val="distribute"/>
        <w:rPr>
          <w:rFonts w:hint="eastAsia" w:ascii="仿宋" w:hAnsi="仿宋" w:eastAsia="仿宋"/>
          <w:color w:val="auto"/>
          <w:spacing w:val="-1"/>
          <w:sz w:val="36"/>
          <w:szCs w:val="36"/>
        </w:rPr>
      </w:pPr>
      <w:r>
        <w:rPr>
          <w:rFonts w:hint="eastAsia" w:ascii="仿宋" w:hAnsi="仿宋" w:eastAsia="仿宋"/>
          <w:color w:val="auto"/>
          <w:spacing w:val="-1"/>
          <w:sz w:val="36"/>
          <w:szCs w:val="36"/>
        </w:rPr>
        <w:t>江苏超力建材科技有限公司发布</w:t>
      </w:r>
    </w:p>
    <w:p>
      <w:pPr>
        <w:pStyle w:val="10"/>
        <w:spacing w:line="381" w:lineRule="exact"/>
        <w:ind w:left="0" w:right="137"/>
        <w:jc w:val="center"/>
        <w:rPr>
          <w:color w:val="auto"/>
          <w:spacing w:val="-1"/>
        </w:rPr>
        <w:sectPr>
          <w:type w:val="continuous"/>
          <w:pgSz w:w="12240" w:h="15840"/>
          <w:pgMar w:top="1440" w:right="1800" w:bottom="1440" w:left="1800" w:header="720" w:footer="720" w:gutter="0"/>
          <w:pgBorders>
            <w:top w:val="none" w:sz="0" w:space="0"/>
            <w:left w:val="none" w:sz="0" w:space="0"/>
            <w:bottom w:val="none" w:sz="0" w:space="0"/>
            <w:right w:val="none" w:sz="0" w:space="0"/>
          </w:pgBorders>
          <w:pgNumType w:fmt="decimal"/>
          <w:cols w:space="720" w:num="1"/>
        </w:sectPr>
      </w:pPr>
    </w:p>
    <w:p>
      <w:pPr>
        <w:widowControl/>
        <w:jc w:val="left"/>
        <w:rPr>
          <w:rFonts w:ascii="仿宋" w:hAnsi="仿宋" w:eastAsia="仿宋" w:cs="Times New Roman"/>
          <w:color w:val="auto"/>
          <w:spacing w:val="-1"/>
          <w:kern w:val="0"/>
          <w:sz w:val="28"/>
          <w:szCs w:val="28"/>
        </w:rPr>
      </w:pPr>
      <w:r>
        <w:rPr>
          <w:color w:val="auto"/>
          <w:spacing w:val="-1"/>
        </w:rPr>
        <w:br w:type="page"/>
      </w:r>
    </w:p>
    <w:p>
      <w:pPr>
        <w:pStyle w:val="10"/>
        <w:spacing w:line="381" w:lineRule="exact"/>
        <w:ind w:left="0" w:right="137"/>
        <w:jc w:val="center"/>
        <w:rPr>
          <w:rFonts w:hint="eastAsia"/>
          <w:color w:val="auto"/>
          <w:spacing w:val="-1"/>
        </w:rPr>
      </w:pPr>
    </w:p>
    <w:p>
      <w:pPr>
        <w:pStyle w:val="10"/>
        <w:spacing w:line="381" w:lineRule="exact"/>
        <w:ind w:left="0" w:right="137"/>
        <w:jc w:val="center"/>
        <w:rPr>
          <w:b/>
          <w:bCs/>
          <w:color w:val="auto"/>
          <w:sz w:val="32"/>
          <w:szCs w:val="32"/>
        </w:rPr>
      </w:pPr>
      <w:r>
        <w:rPr>
          <w:rFonts w:hint="eastAsia"/>
          <w:b/>
          <w:bCs/>
          <w:color w:val="auto"/>
          <w:spacing w:val="-1"/>
          <w:sz w:val="32"/>
          <w:szCs w:val="32"/>
        </w:rPr>
        <w:t>发布</w:t>
      </w:r>
      <w:r>
        <w:rPr>
          <w:rFonts w:hint="eastAsia"/>
          <w:b/>
          <w:bCs/>
          <w:color w:val="auto"/>
          <w:sz w:val="32"/>
          <w:szCs w:val="32"/>
        </w:rPr>
        <w:t>令</w:t>
      </w:r>
    </w:p>
    <w:p>
      <w:pPr>
        <w:pStyle w:val="10"/>
        <w:spacing w:line="360" w:lineRule="auto"/>
        <w:ind w:left="0" w:right="137"/>
        <w:jc w:val="both"/>
        <w:rPr>
          <w:color w:val="auto"/>
          <w:spacing w:val="-3"/>
        </w:rPr>
      </w:pPr>
      <w:r>
        <w:rPr>
          <w:color w:val="auto"/>
          <w:spacing w:val="-3"/>
        </w:rPr>
        <w:t xml:space="preserve"> </w:t>
      </w:r>
      <w:r>
        <w:rPr>
          <w:rFonts w:hint="eastAsia"/>
          <w:color w:val="auto"/>
          <w:spacing w:val="-3"/>
        </w:rPr>
        <w:t>公司各部门:</w:t>
      </w:r>
    </w:p>
    <w:p>
      <w:pPr>
        <w:pStyle w:val="10"/>
        <w:spacing w:line="360" w:lineRule="auto"/>
        <w:ind w:left="0" w:right="136" w:firstLine="548" w:firstLineChars="200"/>
        <w:jc w:val="both"/>
        <w:rPr>
          <w:color w:val="auto"/>
          <w:spacing w:val="-3"/>
        </w:rPr>
      </w:pPr>
      <w:r>
        <w:rPr>
          <w:rFonts w:hint="eastAsia"/>
          <w:color w:val="auto"/>
          <w:spacing w:val="-3"/>
        </w:rPr>
        <w:t>为了认真贯彻执行国家有关环境保护法律法规，确保在突发环境事 件后，能及时地予以控制，有效地组织抢险和救助，防止环境事故蔓延， 最大限度地降低事件造成的损失或危害，依据《中华人民共和国环境保 护法》、《国家突发环境事件应急预案》、</w:t>
      </w:r>
      <w:r>
        <w:rPr>
          <w:rFonts w:hint="eastAsia"/>
          <w:color w:val="auto"/>
          <w:spacing w:val="-3"/>
          <w:lang w:eastAsia="zh-CN"/>
        </w:rPr>
        <w:t>《</w:t>
      </w:r>
      <w:r>
        <w:rPr>
          <w:rFonts w:hint="eastAsia"/>
          <w:color w:val="auto"/>
          <w:spacing w:val="-3"/>
        </w:rPr>
        <w:t>江苏省突发环境事件应急预案》及徐州市政府有关要求，结合我公司实际情况，本着“预防为主、 自救为主、统一指挥、分工负责”的原则，制定了《</w:t>
      </w:r>
      <w:r>
        <w:rPr>
          <w:rFonts w:hint="eastAsia"/>
          <w:color w:val="auto"/>
          <w:spacing w:val="-3"/>
          <w:lang w:eastAsia="zh-CN"/>
        </w:rPr>
        <w:t>江苏超力建材科技有限公司</w:t>
      </w:r>
      <w:r>
        <w:rPr>
          <w:rFonts w:hint="eastAsia"/>
          <w:color w:val="auto"/>
          <w:spacing w:val="-3"/>
        </w:rPr>
        <w:t>突发环境事件应急预案》。</w:t>
      </w:r>
    </w:p>
    <w:p>
      <w:pPr>
        <w:widowControl/>
        <w:wordWrap/>
        <w:adjustRightInd/>
        <w:snapToGrid/>
        <w:spacing w:line="360" w:lineRule="auto"/>
        <w:ind w:firstLine="548" w:firstLineChars="200"/>
        <w:jc w:val="both"/>
        <w:textAlignment w:val="auto"/>
        <w:rPr>
          <w:rFonts w:hint="eastAsia" w:ascii="仿宋" w:hAnsi="仿宋" w:eastAsia="仿宋" w:cs="Times New Roman"/>
          <w:color w:val="auto"/>
          <w:spacing w:val="-3"/>
          <w:kern w:val="0"/>
          <w:sz w:val="28"/>
          <w:szCs w:val="28"/>
          <w:lang w:val="en-US" w:eastAsia="zh-CN" w:bidi="ar-SA"/>
        </w:rPr>
      </w:pPr>
      <w:r>
        <w:rPr>
          <w:rFonts w:hint="eastAsia" w:ascii="仿宋" w:hAnsi="仿宋" w:eastAsia="仿宋" w:cs="Times New Roman"/>
          <w:color w:val="auto"/>
          <w:spacing w:val="-3"/>
          <w:kern w:val="0"/>
          <w:sz w:val="28"/>
          <w:szCs w:val="28"/>
          <w:lang w:val="en-US" w:eastAsia="zh-CN" w:bidi="ar-SA"/>
        </w:rPr>
        <w:t>突发环境事件应急预案是江苏超力建材科技有限公司应急管理工作纲领性文件，明确了应急机构及职责，建立了应急指挥系统及应急响应程序，是指导突发环境事件应急管理工作指南;本预案</w:t>
      </w:r>
      <w:r>
        <w:rPr>
          <w:rFonts w:hint="default" w:ascii="Times New Roman" w:hAnsi="Times New Roman" w:eastAsia="仿宋" w:cs="Times New Roman"/>
          <w:color w:val="auto"/>
          <w:spacing w:val="-3"/>
          <w:kern w:val="0"/>
          <w:sz w:val="28"/>
          <w:szCs w:val="28"/>
          <w:lang w:val="en-US" w:eastAsia="zh-CN" w:bidi="ar-SA"/>
        </w:rPr>
        <w:t>于2019年</w:t>
      </w:r>
      <w:r>
        <w:rPr>
          <w:rFonts w:hint="eastAsia" w:ascii="Times New Roman" w:hAnsi="Times New Roman" w:eastAsia="仿宋" w:cs="Times New Roman"/>
          <w:color w:val="auto"/>
          <w:spacing w:val="-3"/>
          <w:kern w:val="0"/>
          <w:sz w:val="28"/>
          <w:szCs w:val="28"/>
          <w:lang w:val="en-US" w:eastAsia="zh-CN" w:bidi="ar-SA"/>
        </w:rPr>
        <w:t>12</w:t>
      </w:r>
      <w:r>
        <w:rPr>
          <w:rFonts w:hint="default" w:ascii="Times New Roman" w:hAnsi="Times New Roman" w:eastAsia="仿宋" w:cs="Times New Roman"/>
          <w:color w:val="auto"/>
          <w:spacing w:val="-3"/>
          <w:kern w:val="0"/>
          <w:sz w:val="28"/>
          <w:szCs w:val="28"/>
          <w:lang w:val="en-US" w:eastAsia="zh-CN" w:bidi="ar-SA"/>
        </w:rPr>
        <w:t>月</w:t>
      </w:r>
      <w:r>
        <w:rPr>
          <w:rFonts w:hint="eastAsia" w:ascii="Times New Roman" w:hAnsi="Times New Roman" w:eastAsia="仿宋" w:cs="Times New Roman"/>
          <w:color w:val="auto"/>
          <w:spacing w:val="-3"/>
          <w:kern w:val="0"/>
          <w:sz w:val="28"/>
          <w:szCs w:val="28"/>
          <w:lang w:val="en-US" w:eastAsia="zh-CN" w:bidi="ar-SA"/>
        </w:rPr>
        <w:t>13</w:t>
      </w:r>
      <w:r>
        <w:rPr>
          <w:rFonts w:hint="default" w:ascii="Times New Roman" w:hAnsi="Times New Roman" w:eastAsia="仿宋" w:cs="Times New Roman"/>
          <w:color w:val="auto"/>
          <w:spacing w:val="-3"/>
          <w:kern w:val="0"/>
          <w:sz w:val="28"/>
          <w:szCs w:val="28"/>
          <w:lang w:val="en-US" w:eastAsia="zh-CN" w:bidi="ar-SA"/>
        </w:rPr>
        <w:t>日组织突发环境事件应急预案评估专家现场评审通</w:t>
      </w:r>
      <w:r>
        <w:rPr>
          <w:rFonts w:hint="eastAsia" w:ascii="仿宋" w:hAnsi="仿宋" w:eastAsia="仿宋" w:cs="Times New Roman"/>
          <w:color w:val="auto"/>
          <w:spacing w:val="-3"/>
          <w:kern w:val="0"/>
          <w:sz w:val="28"/>
          <w:szCs w:val="28"/>
          <w:lang w:val="en-US" w:eastAsia="zh-CN" w:bidi="ar-SA"/>
        </w:rPr>
        <w:t>过，并已修改完善。本预案现正式发布，即日起实施和生效。</w:t>
      </w:r>
    </w:p>
    <w:p>
      <w:pPr>
        <w:widowControl/>
        <w:wordWrap/>
        <w:adjustRightInd/>
        <w:snapToGrid/>
        <w:spacing w:line="360" w:lineRule="auto"/>
        <w:ind w:firstLine="548" w:firstLineChars="200"/>
        <w:jc w:val="left"/>
        <w:textAlignment w:val="auto"/>
        <w:rPr>
          <w:color w:val="auto"/>
          <w:sz w:val="20"/>
          <w:szCs w:val="20"/>
        </w:rPr>
      </w:pPr>
      <w:r>
        <w:rPr>
          <w:rFonts w:hint="eastAsia" w:ascii="仿宋" w:hAnsi="仿宋" w:eastAsia="仿宋" w:cs="Times New Roman"/>
          <w:color w:val="auto"/>
          <w:spacing w:val="-3"/>
          <w:kern w:val="0"/>
          <w:sz w:val="28"/>
          <w:szCs w:val="28"/>
          <w:lang w:val="en-US" w:eastAsia="zh-CN" w:bidi="ar-SA"/>
        </w:rPr>
        <w:t>请各部门组织员工学习，认真履行职责，按规定做好应急演练和应急准备工作，确保全厂环境应急管理工作得到有效落实。</w:t>
      </w:r>
    </w:p>
    <w:p>
      <w:pPr>
        <w:spacing w:line="200" w:lineRule="exact"/>
        <w:rPr>
          <w:color w:val="auto"/>
          <w:sz w:val="20"/>
          <w:szCs w:val="20"/>
        </w:rPr>
      </w:pPr>
      <w:r>
        <w:rPr>
          <w:color w:val="auto"/>
          <w:sz w:val="20"/>
          <w:szCs w:val="20"/>
        </w:rPr>
        <w:t xml:space="preserve"> </w:t>
      </w:r>
    </w:p>
    <w:p>
      <w:pPr>
        <w:spacing w:line="200" w:lineRule="exact"/>
        <w:rPr>
          <w:color w:val="auto"/>
          <w:sz w:val="20"/>
          <w:szCs w:val="20"/>
        </w:rPr>
      </w:pPr>
      <w:r>
        <w:rPr>
          <w:color w:val="auto"/>
          <w:sz w:val="20"/>
          <w:szCs w:val="20"/>
        </w:rPr>
        <w:t xml:space="preserve"> </w:t>
      </w:r>
    </w:p>
    <w:p>
      <w:pPr>
        <w:spacing w:before="12" w:line="200" w:lineRule="exact"/>
        <w:rPr>
          <w:color w:val="auto"/>
          <w:sz w:val="20"/>
          <w:szCs w:val="20"/>
        </w:rPr>
      </w:pPr>
      <w:r>
        <w:rPr>
          <w:color w:val="auto"/>
          <w:sz w:val="20"/>
          <w:szCs w:val="20"/>
        </w:rPr>
        <w:t xml:space="preserve"> </w:t>
      </w:r>
    </w:p>
    <w:p>
      <w:pPr>
        <w:pStyle w:val="10"/>
        <w:spacing w:line="360" w:lineRule="auto"/>
        <w:ind w:right="1559"/>
        <w:jc w:val="right"/>
        <w:rPr>
          <w:rFonts w:hint="eastAsia"/>
          <w:color w:val="auto"/>
        </w:rPr>
      </w:pPr>
      <w:r>
        <w:rPr>
          <w:rFonts w:hint="eastAsia"/>
          <w:color w:val="auto"/>
        </w:rPr>
        <w:t xml:space="preserve">江苏超力建材科技有限公司 </w:t>
      </w:r>
    </w:p>
    <w:p>
      <w:pPr>
        <w:pStyle w:val="10"/>
        <w:spacing w:line="360" w:lineRule="auto"/>
        <w:ind w:right="1559"/>
        <w:jc w:val="right"/>
        <w:rPr>
          <w:color w:val="auto"/>
        </w:rPr>
      </w:pPr>
      <w:r>
        <w:rPr>
          <w:rFonts w:hint="eastAsia"/>
          <w:color w:val="auto"/>
          <w:spacing w:val="-1"/>
        </w:rPr>
        <w:t>批</w:t>
      </w:r>
      <w:r>
        <w:rPr>
          <w:rFonts w:hint="eastAsia"/>
          <w:color w:val="auto"/>
          <w:spacing w:val="-3"/>
        </w:rPr>
        <w:t>准</w:t>
      </w:r>
      <w:r>
        <w:rPr>
          <w:rFonts w:hint="eastAsia"/>
          <w:color w:val="auto"/>
          <w:spacing w:val="-1"/>
        </w:rPr>
        <w:t>人：</w:t>
      </w:r>
      <w:r>
        <w:rPr>
          <w:rFonts w:hint="eastAsia"/>
          <w:color w:val="auto"/>
          <w:u w:val="single" w:color="000000"/>
        </w:rPr>
        <w:t xml:space="preserve"> </w:t>
      </w:r>
      <w:r>
        <w:rPr>
          <w:rFonts w:hint="eastAsia"/>
          <w:color w:val="auto"/>
          <w:u w:val="single" w:color="000000"/>
        </w:rPr>
        <w:tab/>
      </w:r>
    </w:p>
    <w:p>
      <w:pPr>
        <w:spacing w:line="100" w:lineRule="exact"/>
        <w:rPr>
          <w:rFonts w:hint="eastAsia"/>
          <w:color w:val="auto"/>
          <w:sz w:val="10"/>
          <w:szCs w:val="10"/>
        </w:rPr>
      </w:pPr>
      <w:r>
        <w:rPr>
          <w:color w:val="auto"/>
          <w:sz w:val="10"/>
          <w:szCs w:val="10"/>
        </w:rPr>
        <w:t xml:space="preserve"> </w:t>
      </w:r>
    </w:p>
    <w:p>
      <w:pPr>
        <w:pStyle w:val="10"/>
        <w:spacing w:line="381" w:lineRule="exact"/>
        <w:ind w:left="5708"/>
        <w:rPr>
          <w:color w:val="auto"/>
        </w:rPr>
      </w:pPr>
      <w:r>
        <w:rPr>
          <w:rFonts w:hint="eastAsia"/>
          <w:color w:val="auto"/>
        </w:rPr>
        <w:t>年</w:t>
      </w:r>
      <w:r>
        <w:rPr>
          <w:rFonts w:hint="eastAsia"/>
          <w:color w:val="auto"/>
        </w:rPr>
        <w:tab/>
      </w:r>
      <w:r>
        <w:rPr>
          <w:rFonts w:hint="eastAsia"/>
          <w:color w:val="auto"/>
        </w:rPr>
        <w:t xml:space="preserve"> 月 </w:t>
      </w:r>
      <w:r>
        <w:rPr>
          <w:rFonts w:hint="eastAsia"/>
          <w:color w:val="auto"/>
        </w:rPr>
        <w:tab/>
      </w:r>
      <w:r>
        <w:rPr>
          <w:rFonts w:hint="eastAsia"/>
          <w:color w:val="auto"/>
        </w:rPr>
        <w:t>日</w:t>
      </w:r>
    </w:p>
    <w:p>
      <w:pPr>
        <w:spacing w:line="381" w:lineRule="exact"/>
        <w:rPr>
          <w:color w:val="auto"/>
        </w:rPr>
        <w:sectPr>
          <w:type w:val="continuous"/>
          <w:pgSz w:w="12240" w:h="15840"/>
          <w:pgMar w:top="1440" w:right="1800" w:bottom="1440" w:left="1800" w:header="720" w:footer="720" w:gutter="0"/>
          <w:pgBorders>
            <w:top w:val="none" w:sz="0" w:space="0"/>
            <w:left w:val="none" w:sz="0" w:space="0"/>
            <w:bottom w:val="none" w:sz="0" w:space="0"/>
            <w:right w:val="none" w:sz="0" w:space="0"/>
          </w:pgBorders>
          <w:pgNumType w:fmt="decimal"/>
          <w:cols w:space="720" w:num="1"/>
        </w:sectPr>
      </w:pPr>
    </w:p>
    <w:p>
      <w:pPr>
        <w:pStyle w:val="10"/>
        <w:spacing w:line="360" w:lineRule="auto"/>
        <w:ind w:left="0" w:firstLine="550" w:firstLineChars="200"/>
        <w:jc w:val="center"/>
        <w:outlineLvl w:val="0"/>
        <w:rPr>
          <w:rFonts w:hint="eastAsia"/>
          <w:b/>
          <w:color w:val="auto"/>
          <w:spacing w:val="-3"/>
        </w:rPr>
      </w:pPr>
      <w:bookmarkStart w:id="0" w:name="_Toc5696"/>
      <w:r>
        <w:rPr>
          <w:rFonts w:hint="eastAsia"/>
          <w:b/>
          <w:color w:val="auto"/>
          <w:spacing w:val="-3"/>
        </w:rPr>
        <w:t>编制说明</w:t>
      </w:r>
      <w:bookmarkEnd w:id="0"/>
    </w:p>
    <w:p>
      <w:pPr>
        <w:pStyle w:val="10"/>
        <w:widowControl w:val="0"/>
        <w:wordWrap/>
        <w:adjustRightInd w:val="0"/>
        <w:snapToGrid w:val="0"/>
        <w:spacing w:before="0" w:beforeAutospacing="0" w:line="360" w:lineRule="auto"/>
        <w:jc w:val="both"/>
        <w:textAlignment w:val="auto"/>
        <w:rPr>
          <w:rFonts w:hint="eastAsia" w:cs="Times New Roman"/>
          <w:b/>
          <w:bCs/>
          <w:color w:val="auto"/>
          <w:spacing w:val="-3"/>
        </w:rPr>
      </w:pPr>
      <w:bookmarkStart w:id="1" w:name="_Toc11144"/>
      <w:r>
        <w:rPr>
          <w:rFonts w:hint="eastAsia" w:cs="Times New Roman"/>
          <w:b/>
          <w:bCs/>
          <w:color w:val="auto"/>
          <w:spacing w:val="-3"/>
          <w:lang w:val="en-US" w:eastAsia="zh-CN"/>
        </w:rPr>
        <w:t>一、 目的</w:t>
      </w:r>
      <w:bookmarkEnd w:id="1"/>
    </w:p>
    <w:p>
      <w:pPr>
        <w:pStyle w:val="10"/>
        <w:spacing w:before="0" w:beforeAutospacing="0" w:line="360" w:lineRule="auto"/>
        <w:ind w:left="0" w:firstLine="548" w:firstLineChars="200"/>
        <w:jc w:val="both"/>
        <w:rPr>
          <w:rFonts w:hint="eastAsia"/>
          <w:color w:val="auto"/>
          <w:spacing w:val="-3"/>
        </w:rPr>
      </w:pPr>
      <w:r>
        <w:rPr>
          <w:rFonts w:hint="eastAsia" w:cs="Times New Roman"/>
          <w:color w:val="auto"/>
          <w:spacing w:val="-3"/>
          <w:lang w:val="en-US" w:eastAsia="zh-CN"/>
        </w:rPr>
        <w:t>为了积极应对可能发生的突发环境事件，有序、高效地组织指挥事故抢险救援工作，依据国家相关法律、法规，结合企业实际情况制定了《江苏超力建材科技有限公司突发环境事件应急预案》（以下简称“应急预案”），通过预案实施防止因组织不力或现场救援工作混乱延误事故应急工作，最大限度地保护员工的健康和安全，防止环境污染、减少财产损失。</w:t>
      </w:r>
    </w:p>
    <w:p>
      <w:pPr>
        <w:pStyle w:val="10"/>
        <w:widowControl w:val="0"/>
        <w:wordWrap/>
        <w:adjustRightInd w:val="0"/>
        <w:snapToGrid w:val="0"/>
        <w:spacing w:before="0" w:beforeAutospacing="0" w:line="360" w:lineRule="auto"/>
        <w:textAlignment w:val="auto"/>
        <w:rPr>
          <w:rFonts w:hint="eastAsia" w:cs="Times New Roman"/>
          <w:color w:val="auto"/>
          <w:spacing w:val="-3"/>
        </w:rPr>
      </w:pPr>
      <w:bookmarkStart w:id="2" w:name="_Toc25608"/>
      <w:r>
        <w:rPr>
          <w:rFonts w:hint="eastAsia" w:cs="Times New Roman"/>
          <w:b/>
          <w:bCs/>
          <w:color w:val="auto"/>
          <w:spacing w:val="-3"/>
          <w:lang w:val="en-US" w:eastAsia="zh-CN"/>
        </w:rPr>
        <w:t>二、编制原则</w:t>
      </w:r>
      <w:bookmarkEnd w:id="2"/>
      <w:r>
        <w:rPr>
          <w:rFonts w:hint="eastAsia" w:cs="Times New Roman"/>
          <w:b/>
          <w:bCs/>
          <w:color w:val="auto"/>
          <w:spacing w:val="-3"/>
          <w:lang w:val="en-US" w:eastAsia="zh-CN"/>
        </w:rPr>
        <w:t xml:space="preserve"> </w:t>
      </w:r>
    </w:p>
    <w:p>
      <w:pPr>
        <w:pStyle w:val="10"/>
        <w:spacing w:before="0" w:beforeAutospacing="0" w:line="360" w:lineRule="auto"/>
        <w:ind w:left="0" w:firstLine="548" w:firstLineChars="200"/>
        <w:rPr>
          <w:rFonts w:hint="eastAsia" w:cs="Times New Roman"/>
          <w:color w:val="auto"/>
          <w:spacing w:val="-3"/>
          <w:lang w:val="en-US" w:eastAsia="zh-CN"/>
        </w:rPr>
      </w:pPr>
      <w:r>
        <w:rPr>
          <w:rFonts w:hint="eastAsia" w:cs="Times New Roman"/>
          <w:color w:val="auto"/>
          <w:spacing w:val="-3"/>
          <w:lang w:val="en-US" w:eastAsia="zh-CN"/>
        </w:rPr>
        <w:t>以国家环境保护和污染防治相关法律、法规、规章、技术政策和规划为依据，预案编制主要遵循以</w:t>
      </w:r>
      <w:r>
        <w:rPr>
          <w:rFonts w:hint="default" w:cs="Times New Roman"/>
          <w:color w:val="auto"/>
          <w:spacing w:val="-3"/>
        </w:rPr>
        <w:t>“预防为主、自救为主、统一指挥、分工负责”的原则</w:t>
      </w:r>
      <w:r>
        <w:rPr>
          <w:rFonts w:hint="eastAsia" w:cs="Times New Roman"/>
          <w:color w:val="auto"/>
          <w:spacing w:val="-3"/>
          <w:lang w:val="en-US" w:eastAsia="zh-CN"/>
        </w:rPr>
        <w:t>。力求有较强的针对性、实用性和可操作性。</w:t>
      </w:r>
    </w:p>
    <w:p>
      <w:pPr>
        <w:pStyle w:val="10"/>
        <w:widowControl w:val="0"/>
        <w:wordWrap/>
        <w:adjustRightInd w:val="0"/>
        <w:snapToGrid w:val="0"/>
        <w:spacing w:before="0" w:beforeAutospacing="0" w:line="360" w:lineRule="auto"/>
        <w:jc w:val="both"/>
        <w:textAlignment w:val="auto"/>
        <w:rPr>
          <w:rFonts w:hint="default" w:ascii="Times New Roman" w:hAnsi="Times New Roman" w:cs="Times New Roman"/>
          <w:color w:val="auto"/>
          <w:spacing w:val="-3"/>
        </w:rPr>
      </w:pPr>
      <w:r>
        <w:rPr>
          <w:rFonts w:hint="default" w:ascii="Times New Roman" w:hAnsi="Times New Roman" w:cs="Times New Roman"/>
          <w:b/>
          <w:bCs/>
          <w:color w:val="auto"/>
          <w:spacing w:val="-3"/>
          <w:lang w:eastAsia="zh-CN"/>
        </w:rPr>
        <w:t>三</w:t>
      </w:r>
      <w:r>
        <w:rPr>
          <w:rFonts w:hint="default" w:ascii="Times New Roman" w:hAnsi="Times New Roman" w:cs="Times New Roman"/>
          <w:b/>
          <w:bCs/>
          <w:color w:val="auto"/>
          <w:spacing w:val="-3"/>
        </w:rPr>
        <w:t>、编制过程概述</w:t>
      </w:r>
    </w:p>
    <w:p>
      <w:pPr>
        <w:pStyle w:val="10"/>
        <w:spacing w:before="0" w:beforeAutospacing="0" w:line="360" w:lineRule="auto"/>
        <w:ind w:left="0" w:firstLine="548" w:firstLineChars="200"/>
        <w:jc w:val="both"/>
        <w:rPr>
          <w:rFonts w:hint="default" w:ascii="Times New Roman" w:hAnsi="Times New Roman" w:cs="Times New Roman"/>
          <w:color w:val="auto"/>
          <w:spacing w:val="-3"/>
          <w:lang w:val="en-US" w:eastAsia="zh-CN"/>
        </w:rPr>
      </w:pPr>
      <w:r>
        <w:rPr>
          <w:rFonts w:hint="default" w:ascii="Times New Roman" w:hAnsi="Times New Roman" w:cs="Times New Roman"/>
          <w:color w:val="auto"/>
          <w:spacing w:val="-3"/>
          <w:lang w:val="en-US" w:eastAsia="zh-CN"/>
        </w:rPr>
        <w:t>为了确保应急预案编制工作顺利进行，公司组织各层面领导和员工认真学习了突发环境事件应急工作的文件及相关的专业知识，对企业各部门参加突发环境事件应急预案编制工作提出了具体要求。</w:t>
      </w:r>
      <w:r>
        <w:rPr>
          <w:rFonts w:hint="default" w:ascii="Times New Roman" w:hAnsi="Times New Roman" w:cs="Times New Roman"/>
          <w:color w:val="auto"/>
          <w:spacing w:val="-3"/>
        </w:rPr>
        <w:t>根据《企业事业单位突发环境事件应急预案管理办法（试行）》、《突发环境事件信息报告办法》（环境保护部第17号令）及《江苏省突发环境事件应急预案编制导则（试行）》（企事业单位版）等有关规定，</w:t>
      </w:r>
      <w:r>
        <w:rPr>
          <w:rFonts w:hint="default" w:ascii="Times New Roman" w:hAnsi="Times New Roman" w:cs="Times New Roman"/>
          <w:color w:val="auto"/>
          <w:spacing w:val="-3"/>
          <w:lang w:val="en-US" w:eastAsia="zh-CN"/>
        </w:rPr>
        <w:t>编制了应急预案，编制具体过程如下：</w:t>
      </w:r>
    </w:p>
    <w:p>
      <w:pPr>
        <w:pStyle w:val="10"/>
        <w:widowControl w:val="0"/>
        <w:wordWrap/>
        <w:adjustRightInd w:val="0"/>
        <w:snapToGrid w:val="0"/>
        <w:spacing w:before="0" w:beforeAutospacing="0" w:line="360" w:lineRule="auto"/>
        <w:textAlignment w:val="auto"/>
        <w:rPr>
          <w:rFonts w:hint="eastAsia" w:cs="Times New Roman"/>
          <w:b/>
          <w:bCs/>
          <w:color w:val="auto"/>
          <w:spacing w:val="-3"/>
        </w:rPr>
      </w:pPr>
      <w:bookmarkStart w:id="3" w:name="_Toc18907"/>
      <w:r>
        <w:rPr>
          <w:rFonts w:hint="eastAsia" w:cs="Times New Roman"/>
          <w:b/>
          <w:bCs/>
          <w:color w:val="auto"/>
          <w:spacing w:val="-3"/>
          <w:lang w:val="en-US" w:eastAsia="zh-CN"/>
        </w:rPr>
        <w:t>（一）成立组织机构，明确编制职责</w:t>
      </w:r>
      <w:bookmarkEnd w:id="3"/>
      <w:r>
        <w:rPr>
          <w:rFonts w:hint="eastAsia" w:cs="Times New Roman"/>
          <w:b/>
          <w:bCs/>
          <w:color w:val="auto"/>
          <w:spacing w:val="-3"/>
          <w:lang w:val="en-US" w:eastAsia="zh-CN"/>
        </w:rPr>
        <w:t xml:space="preserve"> </w:t>
      </w:r>
    </w:p>
    <w:p>
      <w:pPr>
        <w:pStyle w:val="10"/>
        <w:widowControl w:val="0"/>
        <w:wordWrap/>
        <w:adjustRightInd w:val="0"/>
        <w:snapToGrid w:val="0"/>
        <w:spacing w:before="0" w:beforeAutospacing="0" w:line="360" w:lineRule="auto"/>
        <w:ind w:left="0" w:firstLine="560" w:firstLineChars="200"/>
        <w:jc w:val="both"/>
        <w:textAlignment w:val="auto"/>
        <w:rPr>
          <w:rFonts w:hint="eastAsia" w:cs="Times New Roman"/>
          <w:color w:val="auto"/>
          <w:spacing w:val="-3"/>
          <w:lang w:val="en-US" w:eastAsia="zh-CN"/>
        </w:rPr>
      </w:pPr>
      <w:r>
        <w:rPr>
          <w:rFonts w:hint="eastAsia"/>
          <w:color w:val="auto"/>
        </w:rPr>
        <w:t>江苏超力建材科技有限公司</w:t>
      </w:r>
      <w:r>
        <w:rPr>
          <w:rFonts w:hint="eastAsia" w:cs="Times New Roman"/>
          <w:color w:val="auto"/>
          <w:spacing w:val="-3"/>
          <w:lang w:val="en-US" w:eastAsia="zh-CN"/>
        </w:rPr>
        <w:t>召开“建立公司环境应急体系专题会议”，并</w:t>
      </w:r>
      <w:r>
        <w:rPr>
          <w:rFonts w:hint="default" w:cs="Times New Roman"/>
          <w:color w:val="auto"/>
          <w:spacing w:val="-3"/>
        </w:rPr>
        <w:t>委托江苏徐海环境监测有限公司开展突发环境事件应急预案的编制工作</w:t>
      </w:r>
      <w:r>
        <w:rPr>
          <w:rFonts w:hint="eastAsia" w:cs="Times New Roman"/>
          <w:color w:val="auto"/>
          <w:spacing w:val="-3"/>
          <w:lang w:eastAsia="zh-CN"/>
        </w:rPr>
        <w:t>，</w:t>
      </w:r>
      <w:r>
        <w:rPr>
          <w:rFonts w:hint="eastAsia" w:cs="Times New Roman"/>
          <w:color w:val="auto"/>
          <w:spacing w:val="-3"/>
          <w:lang w:val="en-US" w:eastAsia="zh-CN"/>
        </w:rPr>
        <w:t>成立了以</w:t>
      </w:r>
      <w:r>
        <w:rPr>
          <w:rFonts w:hint="default" w:cs="Times New Roman"/>
          <w:color w:val="auto"/>
          <w:spacing w:val="-3"/>
        </w:rPr>
        <w:t>公司</w:t>
      </w:r>
      <w:r>
        <w:rPr>
          <w:rFonts w:hint="eastAsia" w:cs="Times New Roman"/>
          <w:color w:val="auto"/>
          <w:spacing w:val="-3"/>
          <w:lang w:val="en-US" w:eastAsia="zh-CN"/>
        </w:rPr>
        <w:t>总经理为组长，</w:t>
      </w:r>
      <w:r>
        <w:rPr>
          <w:rFonts w:hint="default" w:cs="Times New Roman"/>
          <w:color w:val="auto"/>
          <w:spacing w:val="-3"/>
        </w:rPr>
        <w:t>江苏徐海环境监测有限公司编制工作</w:t>
      </w:r>
      <w:r>
        <w:rPr>
          <w:rFonts w:hint="eastAsia" w:cs="Times New Roman"/>
          <w:color w:val="auto"/>
          <w:spacing w:val="-3"/>
          <w:lang w:eastAsia="zh-CN"/>
        </w:rPr>
        <w:t>为主，</w:t>
      </w:r>
      <w:r>
        <w:rPr>
          <w:rFonts w:hint="eastAsia" w:cs="Times New Roman"/>
          <w:color w:val="auto"/>
          <w:spacing w:val="-3"/>
          <w:lang w:val="en-US" w:eastAsia="zh-CN"/>
        </w:rPr>
        <w:t>各相关部门主管领导配合的环境应急预案编制小组；明确了各成员职责。制订了应急预案工作计划。</w:t>
      </w:r>
    </w:p>
    <w:p>
      <w:pPr>
        <w:pStyle w:val="10"/>
        <w:widowControl w:val="0"/>
        <w:wordWrap/>
        <w:adjustRightInd w:val="0"/>
        <w:snapToGrid w:val="0"/>
        <w:spacing w:before="0" w:beforeAutospacing="0" w:line="360" w:lineRule="auto"/>
        <w:textAlignment w:val="auto"/>
        <w:rPr>
          <w:rFonts w:hint="default" w:ascii="Times New Roman" w:hAnsi="Times New Roman" w:cs="Times New Roman"/>
          <w:b/>
          <w:bCs/>
          <w:color w:val="auto"/>
          <w:spacing w:val="-3"/>
          <w:lang w:val="en-US" w:eastAsia="zh-CN"/>
        </w:rPr>
      </w:pPr>
      <w:bookmarkStart w:id="4" w:name="_Toc6154"/>
      <w:r>
        <w:rPr>
          <w:rFonts w:hint="default" w:ascii="Times New Roman" w:hAnsi="Times New Roman" w:cs="Times New Roman"/>
          <w:b/>
          <w:bCs/>
          <w:color w:val="auto"/>
          <w:spacing w:val="-3"/>
          <w:lang w:val="en-US" w:eastAsia="zh-CN"/>
        </w:rPr>
        <w:t>（二）开展环境风险评估与资源调查</w:t>
      </w:r>
      <w:bookmarkEnd w:id="4"/>
    </w:p>
    <w:p>
      <w:pPr>
        <w:pStyle w:val="10"/>
        <w:widowControl w:val="0"/>
        <w:wordWrap/>
        <w:adjustRightInd w:val="0"/>
        <w:snapToGrid w:val="0"/>
        <w:spacing w:before="0" w:beforeAutospacing="0" w:line="360" w:lineRule="auto"/>
        <w:ind w:left="0" w:firstLine="550" w:firstLineChars="200"/>
        <w:textAlignment w:val="auto"/>
        <w:rPr>
          <w:rFonts w:hint="default" w:ascii="Times New Roman" w:hAnsi="Times New Roman" w:cs="Times New Roman"/>
          <w:b/>
          <w:bCs/>
          <w:color w:val="auto"/>
          <w:spacing w:val="-3"/>
        </w:rPr>
      </w:pPr>
      <w:r>
        <w:rPr>
          <w:rFonts w:hint="default" w:ascii="Times New Roman" w:hAnsi="Times New Roman" w:cs="Times New Roman"/>
          <w:b/>
          <w:bCs/>
          <w:color w:val="auto"/>
          <w:spacing w:val="-3"/>
          <w:lang w:val="en-US" w:eastAsia="zh-CN"/>
        </w:rPr>
        <w:t>1、开展环境风险评估</w:t>
      </w:r>
    </w:p>
    <w:p>
      <w:pPr>
        <w:pStyle w:val="10"/>
        <w:widowControl w:val="0"/>
        <w:wordWrap/>
        <w:adjustRightInd w:val="0"/>
        <w:snapToGrid w:val="0"/>
        <w:spacing w:before="0" w:beforeAutospacing="0" w:line="360" w:lineRule="auto"/>
        <w:ind w:left="0" w:firstLine="548" w:firstLineChars="200"/>
        <w:textAlignment w:val="auto"/>
        <w:rPr>
          <w:rFonts w:hint="default" w:ascii="Times New Roman" w:hAnsi="Times New Roman" w:cs="Times New Roman"/>
          <w:color w:val="auto"/>
          <w:spacing w:val="-3"/>
        </w:rPr>
      </w:pPr>
      <w:r>
        <w:rPr>
          <w:rFonts w:hint="default" w:ascii="Times New Roman" w:hAnsi="Times New Roman" w:cs="Times New Roman"/>
          <w:color w:val="auto"/>
          <w:spacing w:val="-3"/>
          <w:lang w:val="en-US" w:eastAsia="zh-CN"/>
        </w:rPr>
        <w:t xml:space="preserve">1.1通过对公司周边环境敏感点、环境风险源、环境风险隐患及防控措施等情况的调查，识别环境风险。 </w:t>
      </w:r>
    </w:p>
    <w:p>
      <w:pPr>
        <w:pStyle w:val="10"/>
        <w:widowControl w:val="0"/>
        <w:wordWrap/>
        <w:adjustRightInd w:val="0"/>
        <w:snapToGrid w:val="0"/>
        <w:spacing w:before="0" w:beforeAutospacing="0" w:line="360" w:lineRule="auto"/>
        <w:ind w:left="0" w:firstLine="548" w:firstLineChars="200"/>
        <w:textAlignment w:val="auto"/>
        <w:rPr>
          <w:rFonts w:hint="default" w:ascii="Times New Roman" w:hAnsi="Times New Roman" w:cs="Times New Roman"/>
          <w:color w:val="auto"/>
          <w:spacing w:val="-3"/>
        </w:rPr>
      </w:pPr>
      <w:r>
        <w:rPr>
          <w:rFonts w:hint="default" w:ascii="Times New Roman" w:hAnsi="Times New Roman" w:cs="Times New Roman"/>
          <w:color w:val="auto"/>
          <w:spacing w:val="-3"/>
          <w:lang w:val="en-US" w:eastAsia="zh-CN"/>
        </w:rPr>
        <w:t>1.2通过对公司突发环境事件的环境风险评估，公司环境风险等级为一般</w:t>
      </w:r>
      <w:r>
        <w:rPr>
          <w:rFonts w:hint="eastAsia" w:ascii="宋体" w:hAnsi="宋体" w:eastAsia="宋体" w:cs="宋体"/>
          <w:color w:val="auto"/>
          <w:spacing w:val="-3"/>
          <w:lang w:val="en-US" w:eastAsia="zh-CN"/>
        </w:rPr>
        <w:t>〔</w:t>
      </w:r>
      <w:r>
        <w:rPr>
          <w:rFonts w:hint="default" w:ascii="Times New Roman" w:hAnsi="Times New Roman" w:cs="Times New Roman"/>
          <w:color w:val="auto"/>
          <w:spacing w:val="-3"/>
          <w:lang w:val="en-US" w:eastAsia="zh-CN"/>
        </w:rPr>
        <w:t>一般-气（Q</w:t>
      </w:r>
      <w:r>
        <w:rPr>
          <w:rFonts w:hint="eastAsia" w:ascii="Times New Roman" w:hAnsi="Times New Roman" w:cs="Times New Roman"/>
          <w:color w:val="auto"/>
          <w:spacing w:val="-3"/>
          <w:lang w:val="en-US" w:eastAsia="zh-CN"/>
        </w:rPr>
        <w:t>1-M1-E2</w:t>
      </w:r>
      <w:r>
        <w:rPr>
          <w:rFonts w:hint="default" w:ascii="Times New Roman" w:hAnsi="Times New Roman" w:cs="Times New Roman"/>
          <w:color w:val="auto"/>
          <w:spacing w:val="-3"/>
          <w:lang w:val="en-US" w:eastAsia="zh-CN"/>
        </w:rPr>
        <w:t>）+一般-水（Q</w:t>
      </w:r>
      <w:r>
        <w:rPr>
          <w:rFonts w:hint="eastAsia" w:ascii="Times New Roman" w:hAnsi="Times New Roman" w:cs="Times New Roman"/>
          <w:color w:val="auto"/>
          <w:spacing w:val="-3"/>
          <w:lang w:val="en-US" w:eastAsia="zh-CN"/>
        </w:rPr>
        <w:t>1-M1-E2</w:t>
      </w:r>
      <w:r>
        <w:rPr>
          <w:rFonts w:hint="default" w:ascii="Times New Roman" w:hAnsi="Times New Roman" w:cs="Times New Roman"/>
          <w:color w:val="auto"/>
          <w:spacing w:val="-3"/>
          <w:lang w:val="en-US" w:eastAsia="zh-CN"/>
        </w:rPr>
        <w:t>）</w:t>
      </w:r>
      <w:r>
        <w:rPr>
          <w:rFonts w:hint="eastAsia" w:ascii="宋体" w:hAnsi="宋体" w:eastAsia="宋体" w:cs="宋体"/>
          <w:color w:val="auto"/>
          <w:spacing w:val="-3"/>
          <w:lang w:val="en-US" w:eastAsia="zh-CN"/>
        </w:rPr>
        <w:t>〕</w:t>
      </w:r>
      <w:r>
        <w:rPr>
          <w:rFonts w:hint="default" w:ascii="Times New Roman" w:hAnsi="Times New Roman" w:cs="Times New Roman"/>
          <w:color w:val="auto"/>
          <w:spacing w:val="-3"/>
          <w:lang w:val="en-US" w:eastAsia="zh-CN"/>
        </w:rPr>
        <w:t xml:space="preserve">。 </w:t>
      </w:r>
    </w:p>
    <w:p>
      <w:pPr>
        <w:pStyle w:val="10"/>
        <w:widowControl w:val="0"/>
        <w:wordWrap/>
        <w:adjustRightInd w:val="0"/>
        <w:snapToGrid w:val="0"/>
        <w:spacing w:before="0" w:beforeAutospacing="0" w:line="360" w:lineRule="auto"/>
        <w:ind w:left="0" w:firstLine="548" w:firstLineChars="200"/>
        <w:textAlignment w:val="auto"/>
        <w:rPr>
          <w:rFonts w:hint="default" w:ascii="Times New Roman" w:hAnsi="Times New Roman" w:cs="Times New Roman"/>
          <w:color w:val="auto"/>
          <w:spacing w:val="-3"/>
        </w:rPr>
      </w:pPr>
      <w:r>
        <w:rPr>
          <w:rFonts w:hint="default" w:ascii="Times New Roman" w:hAnsi="Times New Roman" w:cs="Times New Roman"/>
          <w:color w:val="auto"/>
          <w:spacing w:val="-3"/>
          <w:lang w:val="en-US" w:eastAsia="zh-CN"/>
        </w:rPr>
        <w:t>1.3通过类比调查、资料收集、专家咨询等方式，分析</w:t>
      </w:r>
      <w:r>
        <w:rPr>
          <w:rFonts w:hint="default" w:ascii="Times New Roman" w:hAnsi="Times New Roman" w:cs="Times New Roman"/>
          <w:color w:val="auto"/>
        </w:rPr>
        <w:t>江苏超力建材科技有限公司</w:t>
      </w:r>
      <w:r>
        <w:rPr>
          <w:rFonts w:hint="default" w:ascii="Times New Roman" w:hAnsi="Times New Roman" w:cs="Times New Roman"/>
          <w:color w:val="auto"/>
          <w:spacing w:val="-3"/>
          <w:lang w:val="en-US" w:eastAsia="zh-CN"/>
        </w:rPr>
        <w:t>可能的突发环境事件及其后果，重点分析了各类事故造成的环境影响，根据环境风险评估报告结论，参考国家突发环境事件分类法，确定公司可能引发的突发环境事件级别</w:t>
      </w:r>
      <w:r>
        <w:rPr>
          <w:rFonts w:hint="default" w:ascii="Times New Roman" w:hAnsi="Times New Roman" w:cs="Times New Roman"/>
          <w:color w:val="auto"/>
          <w:spacing w:val="-3"/>
          <w:lang w:val="en-US" w:eastAsia="zh-CN"/>
        </w:rPr>
        <w:t>为</w:t>
      </w:r>
      <w:r>
        <w:rPr>
          <w:rFonts w:hint="eastAsia" w:ascii="Times New Roman" w:hAnsi="Times New Roman" w:cs="Times New Roman"/>
          <w:color w:val="auto"/>
          <w:spacing w:val="-3"/>
          <w:lang w:val="en-US" w:eastAsia="zh-CN"/>
        </w:rPr>
        <w:t>一般</w:t>
      </w:r>
      <w:r>
        <w:rPr>
          <w:rFonts w:hint="default" w:ascii="Times New Roman" w:hAnsi="Times New Roman" w:cs="Times New Roman"/>
          <w:color w:val="auto"/>
          <w:spacing w:val="-3"/>
          <w:lang w:val="en-US" w:eastAsia="zh-CN"/>
        </w:rPr>
        <w:t xml:space="preserve">环境事件。 </w:t>
      </w:r>
    </w:p>
    <w:p>
      <w:pPr>
        <w:pStyle w:val="10"/>
        <w:widowControl w:val="0"/>
        <w:wordWrap/>
        <w:adjustRightInd w:val="0"/>
        <w:snapToGrid w:val="0"/>
        <w:spacing w:before="0" w:beforeAutospacing="0" w:line="360" w:lineRule="auto"/>
        <w:ind w:left="0" w:firstLine="548" w:firstLineChars="200"/>
        <w:textAlignment w:val="auto"/>
        <w:rPr>
          <w:rFonts w:hint="default" w:ascii="Times New Roman" w:hAnsi="Times New Roman" w:cs="Times New Roman"/>
          <w:color w:val="auto"/>
          <w:spacing w:val="-3"/>
        </w:rPr>
      </w:pPr>
      <w:r>
        <w:rPr>
          <w:rFonts w:hint="default" w:ascii="Times New Roman" w:hAnsi="Times New Roman" w:cs="Times New Roman"/>
          <w:color w:val="auto"/>
          <w:spacing w:val="-3"/>
          <w:lang w:val="en-US" w:eastAsia="zh-CN"/>
        </w:rPr>
        <w:t xml:space="preserve">1.4通过对公司环境风险单元进行现场考察，对现有环境风险防控和应急措施进行重点分析，提出了完善环境风险防控和应急措施的实施建议，最终完成环境风险评估报告的编制。 </w:t>
      </w:r>
    </w:p>
    <w:p>
      <w:pPr>
        <w:pStyle w:val="10"/>
        <w:widowControl w:val="0"/>
        <w:wordWrap/>
        <w:adjustRightInd w:val="0"/>
        <w:snapToGrid w:val="0"/>
        <w:spacing w:before="0" w:beforeAutospacing="0" w:line="360" w:lineRule="auto"/>
        <w:ind w:left="0" w:firstLine="550" w:firstLineChars="200"/>
        <w:textAlignment w:val="auto"/>
        <w:rPr>
          <w:rFonts w:hint="eastAsia" w:ascii="Times New Roman" w:hAnsi="Times New Roman" w:cs="Times New Roman"/>
          <w:b/>
          <w:bCs/>
          <w:color w:val="auto"/>
          <w:spacing w:val="-3"/>
          <w:lang w:val="en-US" w:eastAsia="zh-CN"/>
        </w:rPr>
      </w:pPr>
      <w:r>
        <w:rPr>
          <w:rFonts w:hint="eastAsia" w:ascii="Times New Roman" w:hAnsi="Times New Roman" w:cs="Times New Roman"/>
          <w:b/>
          <w:bCs/>
          <w:color w:val="auto"/>
          <w:spacing w:val="-3"/>
          <w:lang w:val="en-US" w:eastAsia="zh-CN"/>
        </w:rPr>
        <w:t xml:space="preserve">2 开展应急资源调查 </w:t>
      </w:r>
    </w:p>
    <w:p>
      <w:pPr>
        <w:pStyle w:val="10"/>
        <w:widowControl w:val="0"/>
        <w:wordWrap/>
        <w:adjustRightInd w:val="0"/>
        <w:snapToGrid w:val="0"/>
        <w:spacing w:before="0" w:beforeAutospacing="0" w:line="360" w:lineRule="auto"/>
        <w:ind w:left="0" w:firstLine="548" w:firstLineChars="200"/>
        <w:textAlignment w:val="auto"/>
        <w:rPr>
          <w:rFonts w:hint="eastAsia" w:cs="Times New Roman"/>
          <w:color w:val="auto"/>
          <w:spacing w:val="-3"/>
          <w:lang w:val="en-US" w:eastAsia="zh-CN"/>
        </w:rPr>
      </w:pPr>
      <w:r>
        <w:rPr>
          <w:rFonts w:hint="eastAsia" w:cs="Times New Roman"/>
          <w:color w:val="auto"/>
          <w:spacing w:val="-3"/>
          <w:lang w:val="en-US" w:eastAsia="zh-CN"/>
        </w:rPr>
        <w:t xml:space="preserve">公司确定了应急资源调查人员与核查人员，对参与应急调查人员进行了培训，调查人员依据《环境应急资源调查指南》（试行），对公司、重点联系单位的应急资源进行了调查，形成了公司应急资源调查表的编制工作。 </w:t>
      </w:r>
    </w:p>
    <w:p>
      <w:pPr>
        <w:pStyle w:val="10"/>
        <w:widowControl w:val="0"/>
        <w:wordWrap/>
        <w:adjustRightInd w:val="0"/>
        <w:snapToGrid w:val="0"/>
        <w:spacing w:before="0" w:beforeAutospacing="0" w:line="360" w:lineRule="auto"/>
        <w:ind w:left="0" w:firstLine="550" w:firstLineChars="200"/>
        <w:textAlignment w:val="auto"/>
        <w:rPr>
          <w:rFonts w:hint="eastAsia" w:cs="Times New Roman"/>
          <w:b/>
          <w:bCs/>
          <w:color w:val="auto"/>
          <w:spacing w:val="-3"/>
          <w:lang w:val="en-US" w:eastAsia="zh-CN"/>
        </w:rPr>
      </w:pPr>
      <w:bookmarkStart w:id="5" w:name="_Toc23336"/>
      <w:r>
        <w:rPr>
          <w:rFonts w:hint="eastAsia" w:cs="Times New Roman"/>
          <w:b/>
          <w:bCs/>
          <w:color w:val="auto"/>
          <w:spacing w:val="-3"/>
          <w:lang w:val="en-US" w:eastAsia="zh-CN"/>
        </w:rPr>
        <w:t>（三）编制预案</w:t>
      </w:r>
      <w:bookmarkEnd w:id="5"/>
      <w:r>
        <w:rPr>
          <w:rFonts w:hint="eastAsia" w:cs="Times New Roman"/>
          <w:b/>
          <w:bCs/>
          <w:color w:val="auto"/>
          <w:spacing w:val="-3"/>
          <w:lang w:val="en-US" w:eastAsia="zh-CN"/>
        </w:rPr>
        <w:t xml:space="preserve"> </w:t>
      </w:r>
    </w:p>
    <w:p>
      <w:pPr>
        <w:pStyle w:val="10"/>
        <w:widowControl w:val="0"/>
        <w:wordWrap/>
        <w:adjustRightInd w:val="0"/>
        <w:snapToGrid w:val="0"/>
        <w:spacing w:before="0" w:beforeAutospacing="0" w:line="360" w:lineRule="auto"/>
        <w:ind w:left="0" w:firstLine="548" w:firstLineChars="200"/>
        <w:textAlignment w:val="auto"/>
        <w:rPr>
          <w:rFonts w:hint="eastAsia" w:cs="Times New Roman"/>
          <w:color w:val="auto"/>
          <w:spacing w:val="-3"/>
        </w:rPr>
      </w:pPr>
      <w:r>
        <w:rPr>
          <w:rFonts w:hint="eastAsia" w:cs="Times New Roman"/>
          <w:color w:val="auto"/>
          <w:spacing w:val="-3"/>
          <w:lang w:val="en-US" w:eastAsia="zh-CN"/>
        </w:rPr>
        <w:t xml:space="preserve">公司结合生产实际，根据环境风险评估和应急资源调查结论，按照相关要求编制完成了应急预案。 </w:t>
      </w:r>
    </w:p>
    <w:p>
      <w:pPr>
        <w:pStyle w:val="10"/>
        <w:widowControl w:val="0"/>
        <w:wordWrap/>
        <w:adjustRightInd w:val="0"/>
        <w:snapToGrid w:val="0"/>
        <w:spacing w:before="0" w:beforeAutospacing="0" w:line="360" w:lineRule="auto"/>
        <w:ind w:left="0" w:firstLine="550" w:firstLineChars="200"/>
        <w:textAlignment w:val="auto"/>
        <w:rPr>
          <w:rFonts w:hint="eastAsia" w:cs="Times New Roman"/>
          <w:b/>
          <w:bCs/>
          <w:color w:val="auto"/>
          <w:spacing w:val="-3"/>
          <w:lang w:val="en-US" w:eastAsia="zh-CN"/>
        </w:rPr>
      </w:pPr>
      <w:bookmarkStart w:id="6" w:name="_Toc7865"/>
      <w:r>
        <w:rPr>
          <w:rFonts w:hint="eastAsia" w:cs="Times New Roman"/>
          <w:b/>
          <w:bCs/>
          <w:color w:val="auto"/>
          <w:spacing w:val="-3"/>
          <w:lang w:val="en-US" w:eastAsia="zh-CN"/>
        </w:rPr>
        <w:t>（四）预案预审及修改</w:t>
      </w:r>
      <w:bookmarkEnd w:id="6"/>
      <w:r>
        <w:rPr>
          <w:rFonts w:hint="eastAsia" w:cs="Times New Roman"/>
          <w:b/>
          <w:bCs/>
          <w:color w:val="auto"/>
          <w:spacing w:val="-3"/>
          <w:lang w:val="en-US" w:eastAsia="zh-CN"/>
        </w:rPr>
        <w:t xml:space="preserve"> </w:t>
      </w:r>
    </w:p>
    <w:p>
      <w:pPr>
        <w:pStyle w:val="10"/>
        <w:widowControl w:val="0"/>
        <w:wordWrap/>
        <w:adjustRightInd w:val="0"/>
        <w:snapToGrid w:val="0"/>
        <w:spacing w:before="0" w:beforeAutospacing="0" w:line="360" w:lineRule="auto"/>
        <w:ind w:left="0" w:firstLine="548" w:firstLineChars="200"/>
        <w:textAlignment w:val="auto"/>
        <w:rPr>
          <w:rFonts w:hint="eastAsia" w:cs="Times New Roman"/>
          <w:color w:val="auto"/>
          <w:spacing w:val="-3"/>
        </w:rPr>
      </w:pPr>
      <w:r>
        <w:rPr>
          <w:rFonts w:hint="eastAsia" w:cs="Times New Roman"/>
          <w:color w:val="auto"/>
          <w:spacing w:val="-3"/>
          <w:lang w:val="en-US" w:eastAsia="zh-CN"/>
        </w:rPr>
        <w:t>预案修订编制完成后，征求了公司生</w:t>
      </w:r>
      <w:r>
        <w:rPr>
          <w:rFonts w:hint="default" w:ascii="Times New Roman" w:hAnsi="Times New Roman" w:cs="Times New Roman"/>
          <w:color w:val="auto"/>
          <w:spacing w:val="-3"/>
          <w:lang w:val="en-US" w:eastAsia="zh-CN"/>
        </w:rPr>
        <w:t>产技术、安全环保、维修等部门，以及全体员工的意见，并据此进行了修订。2019年</w:t>
      </w:r>
      <w:r>
        <w:rPr>
          <w:rFonts w:hint="eastAsia" w:ascii="Times New Roman" w:hAnsi="Times New Roman" w:cs="Times New Roman"/>
          <w:color w:val="auto"/>
          <w:spacing w:val="-3"/>
          <w:lang w:val="en-US" w:eastAsia="zh-CN"/>
        </w:rPr>
        <w:t>12</w:t>
      </w:r>
      <w:r>
        <w:rPr>
          <w:rFonts w:hint="default" w:ascii="Times New Roman" w:hAnsi="Times New Roman" w:cs="Times New Roman"/>
          <w:color w:val="auto"/>
          <w:spacing w:val="-3"/>
          <w:lang w:val="en-US" w:eastAsia="zh-CN"/>
        </w:rPr>
        <w:t>月</w:t>
      </w:r>
      <w:r>
        <w:rPr>
          <w:rFonts w:hint="eastAsia" w:ascii="Times New Roman" w:hAnsi="Times New Roman" w:cs="Times New Roman"/>
          <w:color w:val="auto"/>
          <w:spacing w:val="-3"/>
          <w:lang w:val="en-US" w:eastAsia="zh-CN"/>
        </w:rPr>
        <w:t>13</w:t>
      </w:r>
      <w:r>
        <w:rPr>
          <w:rFonts w:hint="default" w:ascii="Times New Roman" w:hAnsi="Times New Roman" w:cs="Times New Roman"/>
          <w:color w:val="auto"/>
          <w:spacing w:val="-3"/>
          <w:lang w:val="en-US" w:eastAsia="zh-CN"/>
        </w:rPr>
        <w:t>日公司组织专家</w:t>
      </w:r>
      <w:r>
        <w:rPr>
          <w:rFonts w:hint="eastAsia" w:ascii="Times New Roman" w:hAnsi="Times New Roman" w:cs="Times New Roman"/>
          <w:color w:val="auto"/>
          <w:spacing w:val="-3"/>
          <w:lang w:val="en-US" w:eastAsia="zh-CN"/>
        </w:rPr>
        <w:t>专家技术评审会</w:t>
      </w:r>
      <w:r>
        <w:rPr>
          <w:rFonts w:hint="default" w:ascii="Times New Roman" w:hAnsi="Times New Roman" w:cs="Times New Roman"/>
          <w:color w:val="auto"/>
          <w:spacing w:val="-3"/>
          <w:lang w:val="en-US" w:eastAsia="zh-CN"/>
        </w:rPr>
        <w:t>，2019年</w:t>
      </w:r>
      <w:r>
        <w:rPr>
          <w:rFonts w:hint="eastAsia" w:ascii="Times New Roman" w:hAnsi="Times New Roman" w:cs="Times New Roman"/>
          <w:color w:val="auto"/>
          <w:spacing w:val="-3"/>
          <w:lang w:val="en-US" w:eastAsia="zh-CN"/>
        </w:rPr>
        <w:t>12</w:t>
      </w:r>
      <w:r>
        <w:rPr>
          <w:rFonts w:hint="default" w:ascii="Times New Roman" w:hAnsi="Times New Roman" w:cs="Times New Roman"/>
          <w:color w:val="auto"/>
          <w:spacing w:val="-3"/>
          <w:lang w:val="en-US" w:eastAsia="zh-CN"/>
        </w:rPr>
        <w:t>月</w:t>
      </w:r>
      <w:r>
        <w:rPr>
          <w:rFonts w:hint="eastAsia" w:ascii="Times New Roman" w:hAnsi="Times New Roman" w:cs="Times New Roman"/>
          <w:color w:val="auto"/>
          <w:spacing w:val="-3"/>
          <w:lang w:val="en-US" w:eastAsia="zh-CN"/>
        </w:rPr>
        <w:t>23</w:t>
      </w:r>
      <w:r>
        <w:rPr>
          <w:rFonts w:hint="default" w:ascii="Times New Roman" w:hAnsi="Times New Roman" w:cs="Times New Roman"/>
          <w:color w:val="auto"/>
          <w:spacing w:val="-3"/>
          <w:lang w:val="en-US" w:eastAsia="zh-CN"/>
        </w:rPr>
        <w:t xml:space="preserve">日根据专家意见完成了修订工作。 </w:t>
      </w:r>
    </w:p>
    <w:p>
      <w:pPr>
        <w:pStyle w:val="10"/>
        <w:widowControl w:val="0"/>
        <w:wordWrap/>
        <w:adjustRightInd w:val="0"/>
        <w:snapToGrid w:val="0"/>
        <w:spacing w:before="0" w:beforeAutospacing="0" w:line="360" w:lineRule="auto"/>
        <w:ind w:left="0" w:firstLine="550" w:firstLineChars="200"/>
        <w:textAlignment w:val="auto"/>
        <w:rPr>
          <w:rFonts w:hint="eastAsia" w:cs="Times New Roman"/>
          <w:color w:val="auto"/>
          <w:spacing w:val="-3"/>
        </w:rPr>
      </w:pPr>
      <w:bookmarkStart w:id="7" w:name="_Toc11129"/>
      <w:r>
        <w:rPr>
          <w:rFonts w:hint="eastAsia" w:cs="Times New Roman"/>
          <w:b/>
          <w:bCs/>
          <w:color w:val="auto"/>
          <w:spacing w:val="-3"/>
          <w:lang w:val="en-US" w:eastAsia="zh-CN"/>
        </w:rPr>
        <w:t>（五）签署发布突发环境事件应急预案</w:t>
      </w:r>
      <w:bookmarkEnd w:id="7"/>
      <w:r>
        <w:rPr>
          <w:rFonts w:hint="eastAsia" w:cs="Times New Roman"/>
          <w:color w:val="auto"/>
          <w:spacing w:val="-3"/>
          <w:lang w:val="en-US" w:eastAsia="zh-CN"/>
        </w:rPr>
        <w:t xml:space="preserve"> </w:t>
      </w:r>
    </w:p>
    <w:p>
      <w:pPr>
        <w:pStyle w:val="10"/>
        <w:widowControl w:val="0"/>
        <w:wordWrap/>
        <w:adjustRightInd w:val="0"/>
        <w:snapToGrid w:val="0"/>
        <w:spacing w:before="0" w:beforeAutospacing="0" w:line="360" w:lineRule="auto"/>
        <w:ind w:left="0" w:firstLine="548" w:firstLineChars="200"/>
        <w:textAlignment w:val="auto"/>
        <w:rPr>
          <w:rFonts w:hint="eastAsia" w:cs="Times New Roman"/>
          <w:color w:val="auto"/>
          <w:spacing w:val="-3"/>
        </w:rPr>
      </w:pPr>
      <w:r>
        <w:rPr>
          <w:rFonts w:hint="eastAsia" w:cs="Times New Roman"/>
          <w:color w:val="auto"/>
          <w:spacing w:val="-3"/>
          <w:lang w:val="en-US" w:eastAsia="zh-CN"/>
        </w:rPr>
        <w:t>预案经</w:t>
      </w:r>
      <w:r>
        <w:rPr>
          <w:rFonts w:hint="eastAsia"/>
          <w:color w:val="auto"/>
        </w:rPr>
        <w:t>江苏超力建材科技有限公司</w:t>
      </w:r>
      <w:r>
        <w:rPr>
          <w:rFonts w:hint="eastAsia" w:cs="Times New Roman"/>
          <w:color w:val="auto"/>
          <w:spacing w:val="-3"/>
          <w:lang w:val="en-US" w:eastAsia="zh-CN"/>
        </w:rPr>
        <w:t xml:space="preserve">有关会议审议通过，并由公司总经理签署发布。 </w:t>
      </w:r>
    </w:p>
    <w:p>
      <w:pPr>
        <w:pStyle w:val="10"/>
        <w:widowControl w:val="0"/>
        <w:wordWrap/>
        <w:adjustRightInd w:val="0"/>
        <w:snapToGrid w:val="0"/>
        <w:spacing w:before="0" w:beforeAutospacing="0" w:line="360" w:lineRule="auto"/>
        <w:ind w:left="0" w:firstLine="550" w:firstLineChars="200"/>
        <w:textAlignment w:val="auto"/>
        <w:rPr>
          <w:rFonts w:hint="eastAsia" w:cs="Times New Roman"/>
          <w:color w:val="auto"/>
          <w:spacing w:val="-3"/>
        </w:rPr>
      </w:pPr>
      <w:r>
        <w:rPr>
          <w:rFonts w:hint="eastAsia" w:cs="Times New Roman"/>
          <w:b/>
          <w:bCs/>
          <w:color w:val="auto"/>
          <w:spacing w:val="-3"/>
          <w:lang w:val="en-US" w:eastAsia="zh-CN"/>
        </w:rPr>
        <w:t>（六）培训及演练</w:t>
      </w:r>
      <w:r>
        <w:rPr>
          <w:rFonts w:hint="eastAsia" w:cs="Times New Roman"/>
          <w:color w:val="auto"/>
          <w:spacing w:val="-3"/>
          <w:lang w:val="en-US" w:eastAsia="zh-CN"/>
        </w:rPr>
        <w:t xml:space="preserve"> </w:t>
      </w:r>
    </w:p>
    <w:p>
      <w:pPr>
        <w:pStyle w:val="10"/>
        <w:widowControl w:val="0"/>
        <w:wordWrap/>
        <w:adjustRightInd w:val="0"/>
        <w:snapToGrid w:val="0"/>
        <w:spacing w:before="0" w:beforeAutospacing="0" w:line="360" w:lineRule="auto"/>
        <w:ind w:left="0" w:firstLine="548" w:firstLineChars="200"/>
        <w:textAlignment w:val="auto"/>
        <w:rPr>
          <w:rFonts w:hint="eastAsia" w:cs="Times New Roman"/>
          <w:color w:val="auto"/>
          <w:spacing w:val="-3"/>
        </w:rPr>
      </w:pPr>
      <w:r>
        <w:rPr>
          <w:rFonts w:hint="eastAsia" w:cs="Times New Roman"/>
          <w:color w:val="auto"/>
          <w:spacing w:val="-3"/>
          <w:lang w:val="en-US" w:eastAsia="zh-CN"/>
        </w:rPr>
        <w:t xml:space="preserve">预案修订完善后，通过专题会议、集中培训等多种形式开展环境风险和环境应急管理宣传和培训；并组织开展了突发环境事件的应急演练。 </w:t>
      </w:r>
    </w:p>
    <w:p>
      <w:pPr>
        <w:pStyle w:val="10"/>
        <w:widowControl w:val="0"/>
        <w:wordWrap/>
        <w:adjustRightInd w:val="0"/>
        <w:snapToGrid w:val="0"/>
        <w:spacing w:before="0" w:beforeAutospacing="0" w:line="360" w:lineRule="auto"/>
        <w:ind w:left="0" w:firstLine="550" w:firstLineChars="200"/>
        <w:textAlignment w:val="auto"/>
        <w:rPr>
          <w:rFonts w:hint="eastAsia" w:cs="Times New Roman"/>
          <w:b/>
          <w:bCs/>
          <w:color w:val="auto"/>
          <w:spacing w:val="-3"/>
        </w:rPr>
      </w:pPr>
      <w:bookmarkStart w:id="8" w:name="_Toc17488"/>
      <w:r>
        <w:rPr>
          <w:rFonts w:hint="eastAsia" w:cs="Times New Roman"/>
          <w:b/>
          <w:bCs/>
          <w:color w:val="auto"/>
          <w:spacing w:val="-3"/>
          <w:lang w:val="en-US" w:eastAsia="zh-CN"/>
        </w:rPr>
        <w:t>四、重点内容说明</w:t>
      </w:r>
      <w:bookmarkEnd w:id="8"/>
      <w:r>
        <w:rPr>
          <w:rFonts w:hint="eastAsia" w:cs="Times New Roman"/>
          <w:b/>
          <w:bCs/>
          <w:color w:val="auto"/>
          <w:spacing w:val="-3"/>
          <w:lang w:val="en-US" w:eastAsia="zh-CN"/>
        </w:rPr>
        <w:t xml:space="preserve"> </w:t>
      </w:r>
    </w:p>
    <w:p>
      <w:pPr>
        <w:pStyle w:val="10"/>
        <w:widowControl w:val="0"/>
        <w:wordWrap/>
        <w:adjustRightInd w:val="0"/>
        <w:snapToGrid w:val="0"/>
        <w:spacing w:before="0" w:beforeAutospacing="0" w:line="360" w:lineRule="auto"/>
        <w:ind w:left="0" w:firstLine="548" w:firstLineChars="200"/>
        <w:textAlignment w:val="auto"/>
        <w:rPr>
          <w:rFonts w:hint="eastAsia" w:cs="Times New Roman"/>
          <w:color w:val="auto"/>
          <w:spacing w:val="-3"/>
        </w:rPr>
      </w:pPr>
      <w:r>
        <w:rPr>
          <w:rFonts w:hint="eastAsia" w:cs="Times New Roman"/>
          <w:color w:val="auto"/>
          <w:spacing w:val="-3"/>
          <w:lang w:val="en-US" w:eastAsia="zh-CN"/>
        </w:rPr>
        <w:t xml:space="preserve">（一）公司成立了应急组织机构，明确了应急组织机构成员职责。 </w:t>
      </w:r>
    </w:p>
    <w:p>
      <w:pPr>
        <w:pStyle w:val="10"/>
        <w:widowControl w:val="0"/>
        <w:wordWrap/>
        <w:adjustRightInd w:val="0"/>
        <w:snapToGrid w:val="0"/>
        <w:spacing w:before="0" w:beforeAutospacing="0" w:line="360" w:lineRule="auto"/>
        <w:ind w:left="0" w:firstLine="548" w:firstLineChars="200"/>
        <w:textAlignment w:val="auto"/>
        <w:rPr>
          <w:rFonts w:hint="eastAsia" w:cs="Times New Roman"/>
          <w:color w:val="auto"/>
          <w:spacing w:val="-3"/>
        </w:rPr>
      </w:pPr>
      <w:r>
        <w:rPr>
          <w:rFonts w:hint="eastAsia" w:cs="Times New Roman"/>
          <w:color w:val="auto"/>
          <w:spacing w:val="-3"/>
          <w:lang w:val="en-US" w:eastAsia="zh-CN"/>
        </w:rPr>
        <w:t xml:space="preserve">（二）公司根据突发环境事件类型及应急处置要求，配备了应急物资及应急装备。 </w:t>
      </w:r>
    </w:p>
    <w:p>
      <w:pPr>
        <w:pStyle w:val="10"/>
        <w:widowControl w:val="0"/>
        <w:wordWrap/>
        <w:adjustRightInd w:val="0"/>
        <w:snapToGrid w:val="0"/>
        <w:spacing w:before="0" w:beforeAutospacing="0" w:line="360" w:lineRule="auto"/>
        <w:ind w:left="0" w:firstLine="548" w:firstLineChars="200"/>
        <w:textAlignment w:val="auto"/>
        <w:rPr>
          <w:rFonts w:hint="eastAsia" w:cs="Times New Roman"/>
          <w:color w:val="auto"/>
          <w:spacing w:val="-3"/>
        </w:rPr>
      </w:pPr>
      <w:r>
        <w:rPr>
          <w:rFonts w:hint="eastAsia" w:cs="Times New Roman"/>
          <w:color w:val="auto"/>
          <w:spacing w:val="-3"/>
          <w:lang w:val="en-US" w:eastAsia="zh-CN"/>
        </w:rPr>
        <w:t xml:space="preserve">（三）公司建立了应急人员联络通信录，并搜集了外部救援单位联系方式，可保证应急过程中通讯联络。 </w:t>
      </w:r>
    </w:p>
    <w:p>
      <w:pPr>
        <w:pStyle w:val="10"/>
        <w:widowControl w:val="0"/>
        <w:wordWrap/>
        <w:adjustRightInd w:val="0"/>
        <w:snapToGrid w:val="0"/>
        <w:spacing w:before="0" w:beforeAutospacing="0" w:line="360" w:lineRule="auto"/>
        <w:ind w:left="0" w:firstLine="548" w:firstLineChars="200"/>
        <w:textAlignment w:val="auto"/>
        <w:rPr>
          <w:rFonts w:hint="eastAsia" w:cs="Times New Roman"/>
          <w:color w:val="auto"/>
          <w:spacing w:val="-3"/>
        </w:rPr>
      </w:pPr>
      <w:r>
        <w:rPr>
          <w:rFonts w:hint="eastAsia" w:cs="Times New Roman"/>
          <w:color w:val="auto"/>
          <w:spacing w:val="-3"/>
          <w:lang w:val="en-US" w:eastAsia="zh-CN"/>
        </w:rPr>
        <w:t xml:space="preserve">（四）预案规定了应急信息报告方式及内容。 </w:t>
      </w:r>
    </w:p>
    <w:p>
      <w:pPr>
        <w:pStyle w:val="10"/>
        <w:widowControl w:val="0"/>
        <w:wordWrap/>
        <w:adjustRightInd w:val="0"/>
        <w:snapToGrid w:val="0"/>
        <w:spacing w:before="0" w:beforeAutospacing="0" w:line="360" w:lineRule="auto"/>
        <w:ind w:left="0" w:firstLine="548" w:firstLineChars="200"/>
        <w:textAlignment w:val="auto"/>
        <w:rPr>
          <w:rFonts w:hint="eastAsia" w:cs="Times New Roman"/>
          <w:color w:val="auto"/>
          <w:spacing w:val="-3"/>
        </w:rPr>
      </w:pPr>
      <w:r>
        <w:rPr>
          <w:rFonts w:hint="eastAsia" w:cs="Times New Roman"/>
          <w:color w:val="auto"/>
          <w:spacing w:val="-3"/>
          <w:lang w:val="en-US" w:eastAsia="zh-CN"/>
        </w:rPr>
        <w:t xml:space="preserve">（五）预案明确了公司突发环境事件的级别，按照国家突发环境事件分类方法，公司可能引发的环境事件级别为一般环境事件。 </w:t>
      </w:r>
    </w:p>
    <w:p>
      <w:pPr>
        <w:pStyle w:val="10"/>
        <w:widowControl w:val="0"/>
        <w:wordWrap/>
        <w:adjustRightInd w:val="0"/>
        <w:snapToGrid w:val="0"/>
        <w:spacing w:before="0" w:beforeAutospacing="0" w:line="360" w:lineRule="auto"/>
        <w:ind w:left="0" w:firstLine="548" w:firstLineChars="200"/>
        <w:textAlignment w:val="auto"/>
        <w:rPr>
          <w:rFonts w:hint="eastAsia" w:cs="Times New Roman"/>
          <w:color w:val="auto"/>
          <w:spacing w:val="-3"/>
        </w:rPr>
      </w:pPr>
      <w:r>
        <w:rPr>
          <w:rFonts w:hint="eastAsia" w:cs="Times New Roman"/>
          <w:color w:val="auto"/>
          <w:spacing w:val="-3"/>
          <w:lang w:val="en-US" w:eastAsia="zh-CN"/>
        </w:rPr>
        <w:t xml:space="preserve">（六）预案根据突发环境事件类型分为化学品泄露引起的环境污染及遇明火引起的火灾爆炸及次生衍生环境污染、环保设施失效引起的环境污染等，公司针对每种类型突发环境事件，均制订了应急响应措施。 </w:t>
      </w:r>
    </w:p>
    <w:p>
      <w:pPr>
        <w:pStyle w:val="10"/>
        <w:widowControl w:val="0"/>
        <w:wordWrap/>
        <w:adjustRightInd w:val="0"/>
        <w:snapToGrid w:val="0"/>
        <w:spacing w:before="0" w:beforeAutospacing="0" w:line="360" w:lineRule="auto"/>
        <w:ind w:left="0" w:firstLine="548" w:firstLineChars="200"/>
        <w:textAlignment w:val="auto"/>
        <w:rPr>
          <w:rFonts w:hint="eastAsia" w:cs="Times New Roman"/>
          <w:color w:val="auto"/>
          <w:spacing w:val="-3"/>
        </w:rPr>
      </w:pPr>
      <w:r>
        <w:rPr>
          <w:rFonts w:hint="eastAsia" w:cs="Times New Roman"/>
          <w:color w:val="auto"/>
          <w:spacing w:val="-3"/>
          <w:lang w:val="en-US" w:eastAsia="zh-CN"/>
        </w:rPr>
        <w:t xml:space="preserve">（七）预案明确了通信与信息、应急救援队伍、物资装备等其他保障措施。 </w:t>
      </w:r>
    </w:p>
    <w:p>
      <w:pPr>
        <w:pStyle w:val="10"/>
        <w:widowControl w:val="0"/>
        <w:wordWrap/>
        <w:adjustRightInd w:val="0"/>
        <w:snapToGrid w:val="0"/>
        <w:spacing w:before="0" w:beforeAutospacing="0" w:line="360" w:lineRule="auto"/>
        <w:ind w:left="0" w:firstLine="548" w:firstLineChars="200"/>
        <w:textAlignment w:val="auto"/>
        <w:rPr>
          <w:rFonts w:hint="eastAsia" w:cs="Times New Roman"/>
          <w:color w:val="auto"/>
          <w:spacing w:val="-3"/>
        </w:rPr>
      </w:pPr>
      <w:r>
        <w:rPr>
          <w:rFonts w:hint="eastAsia" w:cs="Times New Roman"/>
          <w:color w:val="auto"/>
          <w:spacing w:val="-3"/>
          <w:lang w:val="en-US" w:eastAsia="zh-CN"/>
        </w:rPr>
        <w:t xml:space="preserve">（八）明确了应急预案培训、演练、编制、评审、备案、修订、 实施等规定。 </w:t>
      </w:r>
    </w:p>
    <w:p>
      <w:pPr>
        <w:pStyle w:val="10"/>
        <w:widowControl w:val="0"/>
        <w:wordWrap/>
        <w:adjustRightInd w:val="0"/>
        <w:snapToGrid w:val="0"/>
        <w:spacing w:before="0" w:beforeAutospacing="0" w:line="360" w:lineRule="auto"/>
        <w:ind w:left="0" w:firstLine="550" w:firstLineChars="200"/>
        <w:textAlignment w:val="auto"/>
        <w:rPr>
          <w:rFonts w:hint="eastAsia"/>
          <w:b/>
          <w:bCs/>
          <w:color w:val="auto"/>
          <w:spacing w:val="-3"/>
        </w:rPr>
      </w:pPr>
      <w:r>
        <w:rPr>
          <w:rFonts w:hint="eastAsia"/>
          <w:b/>
          <w:bCs/>
          <w:color w:val="auto"/>
          <w:spacing w:val="-3"/>
          <w:lang w:eastAsia="zh-CN"/>
        </w:rPr>
        <w:t>五</w:t>
      </w:r>
      <w:r>
        <w:rPr>
          <w:rFonts w:hint="eastAsia"/>
          <w:b/>
          <w:bCs/>
          <w:color w:val="auto"/>
          <w:spacing w:val="-3"/>
        </w:rPr>
        <w:t>、征求意见及采纳情况说明</w:t>
      </w:r>
    </w:p>
    <w:p>
      <w:pPr>
        <w:pStyle w:val="10"/>
        <w:widowControl w:val="0"/>
        <w:wordWrap/>
        <w:adjustRightInd w:val="0"/>
        <w:snapToGrid w:val="0"/>
        <w:spacing w:before="0" w:beforeAutospacing="0" w:line="360" w:lineRule="auto"/>
        <w:ind w:left="0" w:firstLine="548" w:firstLineChars="200"/>
        <w:textAlignment w:val="auto"/>
        <w:rPr>
          <w:rFonts w:hint="eastAsia"/>
          <w:b w:val="0"/>
          <w:bCs w:val="0"/>
          <w:color w:val="auto"/>
          <w:spacing w:val="-3"/>
        </w:rPr>
      </w:pPr>
      <w:r>
        <w:rPr>
          <w:rFonts w:hint="eastAsia"/>
          <w:b w:val="0"/>
          <w:bCs w:val="0"/>
          <w:color w:val="auto"/>
          <w:spacing w:val="-3"/>
        </w:rPr>
        <w:t>本预案在编制过程中，项目组成员对周围村民和企业进行了调查，征求意见，经过整理分析，形成的主要意见有：</w:t>
      </w:r>
    </w:p>
    <w:p>
      <w:pPr>
        <w:pStyle w:val="10"/>
        <w:widowControl w:val="0"/>
        <w:wordWrap/>
        <w:adjustRightInd w:val="0"/>
        <w:snapToGrid w:val="0"/>
        <w:spacing w:before="0" w:beforeAutospacing="0" w:line="360" w:lineRule="auto"/>
        <w:ind w:left="0" w:firstLine="548" w:firstLineChars="200"/>
        <w:textAlignment w:val="auto"/>
        <w:rPr>
          <w:rFonts w:ascii="Times New Roman" w:hAnsi="Times New Roman"/>
          <w:color w:val="auto"/>
          <w:spacing w:val="-3"/>
        </w:rPr>
      </w:pPr>
      <w:r>
        <w:rPr>
          <w:rFonts w:ascii="Times New Roman" w:hAnsi="Times New Roman"/>
          <w:color w:val="auto"/>
          <w:spacing w:val="-3"/>
        </w:rPr>
        <w:t>1</w:t>
      </w:r>
      <w:r>
        <w:rPr>
          <w:rFonts w:ascii="Times New Roman"/>
          <w:color w:val="auto"/>
          <w:spacing w:val="-3"/>
        </w:rPr>
        <w:t>、要做好日常的预防，要有完善的预防措施和预警系统；</w:t>
      </w:r>
    </w:p>
    <w:p>
      <w:pPr>
        <w:pStyle w:val="10"/>
        <w:widowControl w:val="0"/>
        <w:wordWrap/>
        <w:adjustRightInd w:val="0"/>
        <w:snapToGrid w:val="0"/>
        <w:spacing w:before="0" w:beforeAutospacing="0" w:line="360" w:lineRule="auto"/>
        <w:ind w:left="0" w:firstLine="548" w:firstLineChars="200"/>
        <w:textAlignment w:val="auto"/>
        <w:rPr>
          <w:rFonts w:ascii="Times New Roman" w:hAnsi="Times New Roman"/>
          <w:color w:val="auto"/>
          <w:spacing w:val="-3"/>
        </w:rPr>
      </w:pPr>
      <w:r>
        <w:rPr>
          <w:rFonts w:ascii="Times New Roman" w:hAnsi="Times New Roman"/>
          <w:color w:val="auto"/>
          <w:spacing w:val="-3"/>
        </w:rPr>
        <w:t>2</w:t>
      </w:r>
      <w:r>
        <w:rPr>
          <w:rFonts w:ascii="Times New Roman"/>
          <w:color w:val="auto"/>
          <w:spacing w:val="-3"/>
        </w:rPr>
        <w:t>、一旦发生环境应急事件，要有完善的应急处置方案。</w:t>
      </w:r>
      <w:r>
        <w:rPr>
          <w:rFonts w:hint="eastAsia" w:ascii="Times New Roman"/>
          <w:color w:val="auto"/>
          <w:spacing w:val="-3"/>
        </w:rPr>
        <w:t>江苏超力建材科技有限公司</w:t>
      </w:r>
      <w:r>
        <w:rPr>
          <w:rFonts w:ascii="Times New Roman"/>
          <w:color w:val="auto"/>
          <w:spacing w:val="-3"/>
        </w:rPr>
        <w:t>在预案编制过程中将以上意见全部采纳，这几条意见在预防与预警、具体应急处置方案等内容的编制中均予以体现。</w:t>
      </w:r>
    </w:p>
    <w:p>
      <w:pPr>
        <w:pStyle w:val="10"/>
        <w:widowControl w:val="0"/>
        <w:wordWrap/>
        <w:adjustRightInd w:val="0"/>
        <w:snapToGrid w:val="0"/>
        <w:spacing w:before="0" w:beforeAutospacing="0" w:line="360" w:lineRule="auto"/>
        <w:textAlignment w:val="auto"/>
        <w:rPr>
          <w:rFonts w:hint="eastAsia"/>
          <w:b/>
          <w:bCs/>
          <w:color w:val="auto"/>
          <w:spacing w:val="-3"/>
        </w:rPr>
      </w:pPr>
      <w:r>
        <w:rPr>
          <w:rFonts w:hint="eastAsia"/>
          <w:b/>
          <w:bCs/>
          <w:color w:val="auto"/>
          <w:spacing w:val="-3"/>
          <w:lang w:eastAsia="zh-CN"/>
        </w:rPr>
        <w:t>六</w:t>
      </w:r>
      <w:r>
        <w:rPr>
          <w:rFonts w:hint="eastAsia"/>
          <w:b/>
          <w:bCs/>
          <w:color w:val="auto"/>
          <w:spacing w:val="-3"/>
        </w:rPr>
        <w:t>、评审情况说明</w:t>
      </w:r>
    </w:p>
    <w:p>
      <w:pPr>
        <w:pStyle w:val="10"/>
        <w:widowControl w:val="0"/>
        <w:wordWrap/>
        <w:adjustRightInd w:val="0"/>
        <w:snapToGrid w:val="0"/>
        <w:spacing w:before="0" w:beforeAutospacing="0" w:line="360" w:lineRule="auto"/>
        <w:ind w:left="0" w:firstLine="548" w:firstLineChars="200"/>
        <w:jc w:val="both"/>
        <w:textAlignment w:val="auto"/>
        <w:rPr>
          <w:rFonts w:ascii="Times New Roman"/>
          <w:color w:val="auto"/>
          <w:spacing w:val="-3"/>
        </w:rPr>
      </w:pPr>
      <w:r>
        <w:rPr>
          <w:rFonts w:ascii="Times New Roman" w:hAnsi="Times New Roman"/>
          <w:color w:val="auto"/>
          <w:spacing w:val="-3"/>
        </w:rPr>
        <w:t xml:space="preserve">2019 </w:t>
      </w:r>
      <w:r>
        <w:rPr>
          <w:rFonts w:ascii="Times New Roman"/>
          <w:color w:val="auto"/>
          <w:spacing w:val="-3"/>
        </w:rPr>
        <w:t>年</w:t>
      </w:r>
      <w:r>
        <w:rPr>
          <w:rFonts w:hint="eastAsia" w:ascii="Times New Roman" w:hAnsi="Times New Roman"/>
          <w:color w:val="auto"/>
          <w:spacing w:val="-3"/>
          <w:lang w:val="en-US" w:eastAsia="zh-CN"/>
        </w:rPr>
        <w:t>12</w:t>
      </w:r>
      <w:r>
        <w:rPr>
          <w:rFonts w:ascii="Times New Roman"/>
          <w:color w:val="auto"/>
          <w:spacing w:val="-3"/>
        </w:rPr>
        <w:t>月</w:t>
      </w:r>
      <w:bookmarkStart w:id="405" w:name="_GoBack"/>
      <w:bookmarkEnd w:id="405"/>
      <w:r>
        <w:rPr>
          <w:rFonts w:hint="eastAsia" w:ascii="Times New Roman" w:hAnsi="Times New Roman"/>
          <w:color w:val="auto"/>
          <w:spacing w:val="-3"/>
          <w:lang w:val="en-US" w:eastAsia="zh-CN"/>
        </w:rPr>
        <w:t>13</w:t>
      </w:r>
      <w:r>
        <w:rPr>
          <w:rFonts w:ascii="Times New Roman"/>
          <w:color w:val="auto"/>
          <w:spacing w:val="-3"/>
        </w:rPr>
        <w:t>日，</w:t>
      </w:r>
      <w:r>
        <w:rPr>
          <w:rFonts w:hint="eastAsia"/>
          <w:color w:val="auto"/>
        </w:rPr>
        <w:t>江苏超力建材科技有限公司</w:t>
      </w:r>
      <w:r>
        <w:rPr>
          <w:rFonts w:ascii="Times New Roman"/>
          <w:color w:val="auto"/>
          <w:spacing w:val="-3"/>
        </w:rPr>
        <w:t>组织召开了</w:t>
      </w:r>
      <w:r>
        <w:rPr>
          <w:rFonts w:hint="eastAsia"/>
          <w:color w:val="auto"/>
        </w:rPr>
        <w:t>江苏超力建材科技有限公司</w:t>
      </w:r>
      <w:r>
        <w:rPr>
          <w:rFonts w:ascii="Times New Roman"/>
          <w:color w:val="auto"/>
          <w:spacing w:val="-3"/>
        </w:rPr>
        <w:t>突发环境事件应急预案》技术评估会，会议邀请</w:t>
      </w:r>
      <w:r>
        <w:rPr>
          <w:rFonts w:ascii="Times New Roman" w:hAnsi="Times New Roman"/>
          <w:color w:val="auto"/>
          <w:spacing w:val="-3"/>
        </w:rPr>
        <w:t>3</w:t>
      </w:r>
      <w:r>
        <w:rPr>
          <w:rFonts w:ascii="Times New Roman"/>
          <w:color w:val="auto"/>
          <w:spacing w:val="-3"/>
        </w:rPr>
        <w:t>位专家，与会人员听取预案内容汇报并查看现场后，经讨论认为该预案</w:t>
      </w:r>
      <w:r>
        <w:rPr>
          <w:rFonts w:hint="eastAsia" w:ascii="Times New Roman"/>
          <w:color w:val="auto"/>
          <w:spacing w:val="-3"/>
          <w:lang w:eastAsia="zh-CN"/>
        </w:rPr>
        <w:t>经修改完善后</w:t>
      </w:r>
      <w:r>
        <w:rPr>
          <w:rFonts w:ascii="Times New Roman"/>
          <w:color w:val="auto"/>
          <w:spacing w:val="-3"/>
        </w:rPr>
        <w:t>可上报备案。</w:t>
      </w:r>
    </w:p>
    <w:p>
      <w:pPr>
        <w:widowControl w:val="0"/>
        <w:wordWrap/>
        <w:adjustRightInd w:val="0"/>
        <w:snapToGrid w:val="0"/>
        <w:spacing w:beforeAutospacing="0" w:line="360" w:lineRule="auto"/>
        <w:textAlignment w:val="auto"/>
        <w:outlineLvl w:val="9"/>
        <w:rPr>
          <w:rFonts w:hint="eastAsia" w:ascii="Times New Roman" w:hAnsi="仿宋" w:eastAsia="仿宋" w:cs="Times New Roman"/>
          <w:b/>
          <w:bCs/>
          <w:color w:val="auto"/>
          <w:spacing w:val="-3"/>
          <w:kern w:val="0"/>
          <w:sz w:val="28"/>
          <w:szCs w:val="28"/>
          <w:lang w:val="en-US" w:eastAsia="zh-CN" w:bidi="ar-SA"/>
        </w:rPr>
      </w:pPr>
      <w:bookmarkStart w:id="9" w:name="_Toc16337"/>
      <w:bookmarkStart w:id="10" w:name="_Toc28308"/>
      <w:bookmarkStart w:id="11" w:name="_Toc24741"/>
      <w:bookmarkStart w:id="12" w:name="_Toc14486"/>
      <w:bookmarkStart w:id="13" w:name="_Toc18468"/>
      <w:r>
        <w:rPr>
          <w:rFonts w:hint="eastAsia" w:ascii="Times New Roman" w:cs="Times New Roman"/>
          <w:b/>
          <w:bCs/>
          <w:color w:val="auto"/>
          <w:spacing w:val="-3"/>
          <w:kern w:val="0"/>
          <w:sz w:val="28"/>
          <w:szCs w:val="28"/>
          <w:lang w:val="en-US" w:eastAsia="zh-CN" w:bidi="ar-SA"/>
        </w:rPr>
        <w:t>七、</w:t>
      </w:r>
      <w:r>
        <w:rPr>
          <w:rFonts w:hint="eastAsia" w:ascii="Times New Roman" w:hAnsi="仿宋" w:eastAsia="仿宋" w:cs="Times New Roman"/>
          <w:b/>
          <w:bCs/>
          <w:color w:val="auto"/>
          <w:spacing w:val="-3"/>
          <w:kern w:val="0"/>
          <w:sz w:val="28"/>
          <w:szCs w:val="28"/>
          <w:lang w:val="en-US" w:eastAsia="zh-CN" w:bidi="ar-SA"/>
        </w:rPr>
        <w:t>应急预案的修订</w:t>
      </w:r>
      <w:bookmarkEnd w:id="9"/>
      <w:bookmarkEnd w:id="10"/>
      <w:bookmarkEnd w:id="11"/>
      <w:bookmarkEnd w:id="12"/>
      <w:bookmarkEnd w:id="13"/>
    </w:p>
    <w:p>
      <w:pPr>
        <w:pStyle w:val="10"/>
        <w:spacing w:before="0" w:beforeAutospacing="0" w:line="360" w:lineRule="auto"/>
        <w:ind w:left="0" w:firstLine="548" w:firstLineChars="200"/>
        <w:rPr>
          <w:rFonts w:hint="eastAsia" w:cs="Times New Roman"/>
          <w:color w:val="auto"/>
          <w:spacing w:val="-3"/>
          <w:lang w:val="en-US" w:eastAsia="zh-CN"/>
        </w:rPr>
      </w:pPr>
      <w:r>
        <w:rPr>
          <w:rFonts w:hint="eastAsia" w:ascii="Times New Roman" w:hAnsi="仿宋" w:eastAsia="仿宋" w:cs="Times New Roman"/>
          <w:b w:val="0"/>
          <w:bCs w:val="0"/>
          <w:color w:val="auto"/>
          <w:spacing w:val="-3"/>
          <w:kern w:val="0"/>
          <w:sz w:val="28"/>
          <w:szCs w:val="28"/>
          <w:lang w:val="en-US" w:eastAsia="zh-CN" w:bidi="ar-SA"/>
        </w:rPr>
        <w:t>本预案的内容将随着</w:t>
      </w:r>
      <w:r>
        <w:rPr>
          <w:rFonts w:hint="eastAsia"/>
          <w:color w:val="auto"/>
        </w:rPr>
        <w:t>江苏超力建材科技有限公司</w:t>
      </w:r>
      <w:r>
        <w:rPr>
          <w:rFonts w:hint="eastAsia" w:ascii="Times New Roman" w:hAnsi="仿宋" w:eastAsia="仿宋" w:cs="Times New Roman"/>
          <w:b w:val="0"/>
          <w:bCs w:val="0"/>
          <w:color w:val="auto"/>
          <w:spacing w:val="-3"/>
          <w:kern w:val="0"/>
          <w:sz w:val="28"/>
          <w:szCs w:val="28"/>
          <w:lang w:val="en-US" w:eastAsia="zh-CN" w:bidi="ar-SA"/>
        </w:rPr>
        <w:t>实际情况每三年修订一次，在公司生产活动发生重大变更时，须做出相应调整。</w:t>
      </w:r>
    </w:p>
    <w:p>
      <w:pPr>
        <w:pStyle w:val="10"/>
        <w:spacing w:before="0" w:beforeAutospacing="0" w:line="360" w:lineRule="auto"/>
        <w:ind w:left="0" w:firstLine="548" w:firstLineChars="200"/>
        <w:jc w:val="right"/>
        <w:rPr>
          <w:color w:val="auto"/>
          <w:spacing w:val="-3"/>
        </w:rPr>
      </w:pPr>
      <w:r>
        <w:rPr>
          <w:color w:val="auto"/>
          <w:spacing w:val="-3"/>
        </w:rPr>
        <w:t xml:space="preserve"> </w:t>
      </w:r>
    </w:p>
    <w:p>
      <w:pPr>
        <w:pStyle w:val="10"/>
        <w:spacing w:before="0" w:beforeAutospacing="0" w:line="360" w:lineRule="auto"/>
        <w:ind w:left="0" w:firstLine="548" w:firstLineChars="200"/>
        <w:jc w:val="right"/>
        <w:rPr>
          <w:color w:val="auto"/>
          <w:spacing w:val="-3"/>
        </w:rPr>
      </w:pPr>
      <w:r>
        <w:rPr>
          <w:color w:val="auto"/>
          <w:spacing w:val="-3"/>
        </w:rPr>
        <w:t xml:space="preserve"> </w:t>
      </w:r>
      <w:r>
        <w:rPr>
          <w:rFonts w:hint="eastAsia"/>
          <w:color w:val="auto"/>
          <w:spacing w:val="-3"/>
        </w:rPr>
        <w:t>编制单位（盖章）</w:t>
      </w:r>
      <w:r>
        <w:rPr>
          <w:color w:val="auto"/>
          <w:spacing w:val="-3"/>
        </w:rPr>
        <w:t xml:space="preserve"> </w:t>
      </w:r>
    </w:p>
    <w:p>
      <w:pPr>
        <w:pStyle w:val="10"/>
        <w:spacing w:before="0" w:beforeAutospacing="0" w:line="360" w:lineRule="auto"/>
        <w:ind w:left="0" w:firstLine="548" w:firstLineChars="200"/>
        <w:jc w:val="right"/>
        <w:rPr>
          <w:color w:val="auto"/>
          <w:spacing w:val="-3"/>
        </w:rPr>
      </w:pPr>
      <w:r>
        <w:rPr>
          <w:rFonts w:hint="eastAsia"/>
          <w:color w:val="auto"/>
          <w:spacing w:val="-3"/>
        </w:rPr>
        <w:t>江苏超力建材科技有限公司</w:t>
      </w:r>
    </w:p>
    <w:p>
      <w:pPr>
        <w:pStyle w:val="10"/>
        <w:wordWrap w:val="0"/>
        <w:spacing w:before="0" w:beforeAutospacing="0" w:line="360" w:lineRule="auto"/>
        <w:ind w:left="0" w:firstLine="548" w:firstLineChars="200"/>
        <w:jc w:val="right"/>
        <w:rPr>
          <w:rFonts w:ascii="Times New Roman"/>
          <w:color w:val="auto"/>
          <w:spacing w:val="-3"/>
        </w:rPr>
      </w:pPr>
      <w:r>
        <w:rPr>
          <w:rFonts w:ascii="Times New Roman" w:hAnsi="Times New Roman"/>
          <w:color w:val="auto"/>
          <w:spacing w:val="-3"/>
        </w:rPr>
        <w:t xml:space="preserve">2019 </w:t>
      </w:r>
      <w:r>
        <w:rPr>
          <w:rFonts w:ascii="Times New Roman"/>
          <w:color w:val="auto"/>
          <w:spacing w:val="-3"/>
        </w:rPr>
        <w:t>年</w:t>
      </w:r>
      <w:r>
        <w:rPr>
          <w:rFonts w:hint="eastAsia" w:ascii="Times New Roman"/>
          <w:color w:val="auto"/>
          <w:spacing w:val="-3"/>
        </w:rPr>
        <w:t xml:space="preserve">  </w:t>
      </w:r>
      <w:r>
        <w:rPr>
          <w:rFonts w:ascii="Times New Roman"/>
          <w:color w:val="auto"/>
          <w:spacing w:val="-3"/>
        </w:rPr>
        <w:t>月</w:t>
      </w:r>
      <w:r>
        <w:rPr>
          <w:rFonts w:hint="eastAsia" w:ascii="Times New Roman"/>
          <w:color w:val="auto"/>
          <w:spacing w:val="-3"/>
        </w:rPr>
        <w:t xml:space="preserve">  </w:t>
      </w:r>
      <w:r>
        <w:rPr>
          <w:rFonts w:ascii="Times New Roman"/>
          <w:color w:val="auto"/>
          <w:spacing w:val="-3"/>
        </w:rPr>
        <w:t>日</w:t>
      </w:r>
    </w:p>
    <w:p>
      <w:pPr>
        <w:rPr>
          <w:rFonts w:ascii="Times New Roman"/>
          <w:color w:val="auto"/>
          <w:spacing w:val="-3"/>
        </w:rPr>
      </w:pPr>
      <w:r>
        <w:rPr>
          <w:rFonts w:ascii="Times New Roman"/>
          <w:color w:val="auto"/>
          <w:spacing w:val="-3"/>
        </w:rPr>
        <w:br w:type="page"/>
      </w:r>
    </w:p>
    <w:p>
      <w:pPr>
        <w:spacing w:before="100" w:beforeAutospacing="1" w:line="252" w:lineRule="auto"/>
        <w:jc w:val="left"/>
        <w:rPr>
          <w:color w:val="auto"/>
        </w:rPr>
      </w:pPr>
    </w:p>
    <w:p>
      <w:pPr>
        <w:spacing w:before="0" w:after="0" w:line="240" w:lineRule="auto"/>
        <w:ind w:left="0" w:leftChars="0" w:right="0" w:firstLine="0" w:firstLineChars="0"/>
        <w:jc w:val="center"/>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rPr>
        <w:t>目</w:t>
      </w:r>
      <w:r>
        <w:rPr>
          <w:rFonts w:hint="default" w:ascii="Times New Roman" w:hAnsi="Times New Roman" w:eastAsia="仿宋" w:cs="Times New Roman"/>
          <w:b/>
          <w:bCs/>
          <w:color w:val="auto"/>
          <w:sz w:val="28"/>
          <w:szCs w:val="28"/>
          <w:lang w:val="en-US" w:eastAsia="zh-CN"/>
        </w:rPr>
        <w:t xml:space="preserve"> </w:t>
      </w:r>
      <w:r>
        <w:rPr>
          <w:rFonts w:hint="default" w:ascii="Times New Roman" w:hAnsi="Times New Roman" w:eastAsia="仿宋" w:cs="Times New Roman"/>
          <w:b/>
          <w:bCs/>
          <w:color w:val="auto"/>
          <w:sz w:val="28"/>
          <w:szCs w:val="28"/>
        </w:rPr>
        <w:t>录</w:t>
      </w:r>
    </w:p>
    <w:p>
      <w:pPr>
        <w:pStyle w:val="16"/>
        <w:tabs>
          <w:tab w:val="right" w:leader="dot" w:pos="8640"/>
        </w:tabs>
        <w:jc w:val="center"/>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4"/>
          <w:szCs w:val="24"/>
        </w:rPr>
        <w:fldChar w:fldCharType="begin"/>
      </w:r>
      <w:r>
        <w:rPr>
          <w:rFonts w:hint="default" w:ascii="Times New Roman" w:hAnsi="Times New Roman" w:eastAsia="仿宋" w:cs="Times New Roman"/>
          <w:color w:val="auto"/>
          <w:kern w:val="0"/>
          <w:sz w:val="24"/>
          <w:szCs w:val="24"/>
        </w:rPr>
        <w:instrText xml:space="preserve">TOC \o "1-3" \h \u </w:instrText>
      </w:r>
      <w:r>
        <w:rPr>
          <w:rFonts w:hint="default" w:ascii="Times New Roman" w:hAnsi="Times New Roman" w:eastAsia="仿宋" w:cs="Times New Roman"/>
          <w:color w:val="auto"/>
          <w:kern w:val="0"/>
          <w:sz w:val="24"/>
          <w:szCs w:val="24"/>
        </w:rPr>
        <w:fldChar w:fldCharType="separate"/>
      </w:r>
      <w:r>
        <w:rPr>
          <w:rFonts w:hint="default" w:ascii="Times New Roman" w:hAnsi="Times New Roman" w:eastAsia="仿宋" w:cs="Times New Roman"/>
          <w:b/>
          <w:bCs/>
          <w:color w:val="auto"/>
          <w:kern w:val="0"/>
          <w:sz w:val="24"/>
          <w:szCs w:val="24"/>
        </w:rPr>
        <w:fldChar w:fldCharType="begin"/>
      </w:r>
      <w:r>
        <w:rPr>
          <w:rFonts w:hint="default" w:ascii="Times New Roman" w:hAnsi="Times New Roman" w:eastAsia="仿宋" w:cs="Times New Roman"/>
          <w:b/>
          <w:bCs/>
          <w:color w:val="auto"/>
          <w:kern w:val="0"/>
          <w:sz w:val="24"/>
          <w:szCs w:val="24"/>
        </w:rPr>
        <w:instrText xml:space="preserve"> HYPERLINK \l _Toc3969 </w:instrText>
      </w:r>
      <w:r>
        <w:rPr>
          <w:rFonts w:hint="default" w:ascii="Times New Roman" w:hAnsi="Times New Roman" w:eastAsia="仿宋" w:cs="Times New Roman"/>
          <w:b/>
          <w:bCs/>
          <w:color w:val="auto"/>
          <w:kern w:val="0"/>
          <w:sz w:val="24"/>
          <w:szCs w:val="24"/>
        </w:rPr>
        <w:fldChar w:fldCharType="separate"/>
      </w:r>
      <w:r>
        <w:rPr>
          <w:rFonts w:hint="default" w:ascii="Times New Roman" w:hAnsi="Times New Roman" w:eastAsia="仿宋" w:cs="Times New Roman"/>
          <w:b/>
          <w:bCs/>
          <w:color w:val="auto"/>
          <w:sz w:val="24"/>
          <w:szCs w:val="24"/>
        </w:rPr>
        <w:t>第一部分环境风险评估报告</w:t>
      </w:r>
      <w:r>
        <w:rPr>
          <w:rFonts w:hint="default" w:ascii="Times New Roman" w:hAnsi="Times New Roman" w:eastAsia="仿宋" w:cs="Times New Roman"/>
          <w:b/>
          <w:bCs/>
          <w:color w:val="auto"/>
          <w:kern w:val="0"/>
          <w:sz w:val="24"/>
          <w:szCs w:val="24"/>
        </w:rPr>
        <w:fldChar w:fldCharType="end"/>
      </w:r>
    </w:p>
    <w:p>
      <w:pPr>
        <w:pStyle w:val="16"/>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_Toc22873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
          <w:bCs w:val="0"/>
          <w:color w:val="auto"/>
          <w:kern w:val="2"/>
          <w:sz w:val="21"/>
          <w:szCs w:val="21"/>
          <w:lang w:val="en-US" w:eastAsia="zh-CN" w:bidi="ar-SA"/>
        </w:rPr>
        <w:t>1 前言</w:t>
      </w:r>
      <w:r>
        <w:rPr>
          <w:rFonts w:hint="default" w:ascii="Times New Roman" w:hAnsi="Times New Roman" w:cs="Times New Roman"/>
          <w:color w:val="auto"/>
          <w:sz w:val="21"/>
          <w:szCs w:val="21"/>
        </w:rPr>
        <w:tab/>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PAGEREF _Toc22873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1</w:t>
      </w:r>
      <w:r>
        <w:rPr>
          <w:rFonts w:hint="default" w:ascii="Times New Roman" w:hAnsi="Times New Roman" w:cs="Times New Roman"/>
          <w:b/>
          <w:bCs/>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ind w:left="0" w:leftChars="0" w:firstLine="0" w:firstLineChars="0"/>
        <w:rPr>
          <w:rFonts w:hint="default" w:ascii="Times New Roman" w:hAnsi="Times New Roman" w:cs="Times New Roman"/>
          <w:b/>
          <w:bCs/>
          <w:color w:val="auto"/>
          <w:sz w:val="21"/>
          <w:szCs w:val="21"/>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_Toc14050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cs="Times New Roman"/>
          <w:b/>
          <w:bCs/>
          <w:color w:val="auto"/>
          <w:sz w:val="21"/>
          <w:szCs w:val="21"/>
        </w:rPr>
        <w:t>2</w:t>
      </w:r>
      <w:r>
        <w:rPr>
          <w:rFonts w:hint="default" w:ascii="Times New Roman" w:hAnsi="Times New Roman" w:eastAsia="仿宋" w:cs="Times New Roman"/>
          <w:b/>
          <w:bCs/>
          <w:color w:val="auto"/>
          <w:sz w:val="21"/>
          <w:szCs w:val="21"/>
        </w:rPr>
        <w:t>、总则</w:t>
      </w:r>
      <w:r>
        <w:rPr>
          <w:rFonts w:hint="default" w:ascii="Times New Roman" w:hAnsi="Times New Roman" w:cs="Times New Roman"/>
          <w:b/>
          <w:bCs/>
          <w:color w:val="auto"/>
          <w:sz w:val="21"/>
          <w:szCs w:val="21"/>
        </w:rPr>
        <w:tab/>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PAGEREF _Toc14050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2</w:t>
      </w:r>
      <w:r>
        <w:rPr>
          <w:rFonts w:hint="default" w:ascii="Times New Roman" w:hAnsi="Times New Roman"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_Toc26948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2.1 编制原则</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_Toc26948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_Toc15516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2.</w:t>
      </w:r>
      <w:r>
        <w:rPr>
          <w:rFonts w:hint="default" w:ascii="Times New Roman" w:hAnsi="Times New Roman" w:eastAsia="仿宋" w:cs="Times New Roman"/>
          <w:bCs/>
          <w:color w:val="auto"/>
          <w:sz w:val="21"/>
          <w:szCs w:val="21"/>
          <w:lang w:val="en-US" w:eastAsia="zh-CN"/>
        </w:rPr>
        <w:t>2</w:t>
      </w:r>
      <w:r>
        <w:rPr>
          <w:rFonts w:hint="default" w:ascii="Times New Roman" w:hAnsi="Times New Roman" w:eastAsia="仿宋" w:cs="Times New Roman"/>
          <w:bCs/>
          <w:color w:val="auto"/>
          <w:sz w:val="21"/>
          <w:szCs w:val="21"/>
        </w:rPr>
        <w:t>、编制依据</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_Toc15516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_Toc24784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2.</w:t>
      </w:r>
      <w:r>
        <w:rPr>
          <w:rFonts w:hint="default" w:ascii="Times New Roman" w:hAnsi="Times New Roman" w:eastAsia="仿宋" w:cs="Times New Roman"/>
          <w:bCs/>
          <w:color w:val="auto"/>
          <w:sz w:val="21"/>
          <w:szCs w:val="21"/>
          <w:lang w:val="en-US" w:eastAsia="zh-CN"/>
        </w:rPr>
        <w:t>2</w:t>
      </w:r>
      <w:r>
        <w:rPr>
          <w:rFonts w:hint="default" w:ascii="Times New Roman" w:hAnsi="Times New Roman" w:eastAsia="仿宋" w:cs="Times New Roman"/>
          <w:bCs/>
          <w:color w:val="auto"/>
          <w:sz w:val="21"/>
          <w:szCs w:val="21"/>
        </w:rPr>
        <w:t>.1法律法规</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_Toc24784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_Toc16491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2.</w:t>
      </w:r>
      <w:r>
        <w:rPr>
          <w:rFonts w:hint="default" w:ascii="Times New Roman" w:hAnsi="Times New Roman" w:eastAsia="仿宋" w:cs="Times New Roman"/>
          <w:bCs/>
          <w:color w:val="auto"/>
          <w:sz w:val="21"/>
          <w:szCs w:val="21"/>
          <w:lang w:val="en-US" w:eastAsia="zh-CN"/>
        </w:rPr>
        <w:t>2</w:t>
      </w:r>
      <w:r>
        <w:rPr>
          <w:rFonts w:hint="default" w:ascii="Times New Roman" w:hAnsi="Times New Roman" w:eastAsia="仿宋" w:cs="Times New Roman"/>
          <w:bCs/>
          <w:color w:val="auto"/>
          <w:sz w:val="21"/>
          <w:szCs w:val="21"/>
        </w:rPr>
        <w:t>.2技术标准和规范</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_Toc16491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_Toc2080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2.</w:t>
      </w:r>
      <w:r>
        <w:rPr>
          <w:rFonts w:hint="default" w:ascii="Times New Roman" w:hAnsi="Times New Roman" w:eastAsia="仿宋" w:cs="Times New Roman"/>
          <w:bCs/>
          <w:color w:val="auto"/>
          <w:sz w:val="21"/>
          <w:szCs w:val="21"/>
          <w:lang w:val="en-US" w:eastAsia="zh-CN"/>
        </w:rPr>
        <w:t>2</w:t>
      </w:r>
      <w:r>
        <w:rPr>
          <w:rFonts w:hint="default" w:ascii="Times New Roman" w:hAnsi="Times New Roman" w:eastAsia="仿宋" w:cs="Times New Roman"/>
          <w:bCs/>
          <w:color w:val="auto"/>
          <w:sz w:val="21"/>
          <w:szCs w:val="21"/>
        </w:rPr>
        <w:t>.3</w:t>
      </w:r>
      <w:r>
        <w:rPr>
          <w:rFonts w:hint="default" w:ascii="Times New Roman" w:hAnsi="Times New Roman" w:eastAsia="仿宋" w:cs="Times New Roman"/>
          <w:bCs/>
          <w:color w:val="auto"/>
          <w:kern w:val="0"/>
          <w:sz w:val="21"/>
          <w:szCs w:val="21"/>
        </w:rPr>
        <w:t>企业相关文件和资料</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_Toc2080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_Toc23524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cs="Times New Roman"/>
          <w:bCs/>
          <w:color w:val="auto"/>
          <w:sz w:val="21"/>
          <w:szCs w:val="21"/>
        </w:rPr>
        <w:t>2.</w:t>
      </w:r>
      <w:r>
        <w:rPr>
          <w:rFonts w:hint="default" w:ascii="Times New Roman" w:hAnsi="Times New Roman" w:cs="Times New Roman"/>
          <w:bCs/>
          <w:color w:val="auto"/>
          <w:sz w:val="21"/>
          <w:szCs w:val="21"/>
          <w:lang w:val="en-US" w:eastAsia="zh-CN"/>
        </w:rPr>
        <w:t>3</w:t>
      </w:r>
      <w:r>
        <w:rPr>
          <w:rFonts w:hint="default" w:ascii="Times New Roman" w:hAnsi="Times New Roman" w:cs="Times New Roman"/>
          <w:bCs/>
          <w:color w:val="auto"/>
          <w:sz w:val="21"/>
          <w:szCs w:val="21"/>
        </w:rPr>
        <w:t>环境风险评估过程和程序</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_Toc23524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ind w:left="0" w:leftChars="0" w:firstLine="0" w:firstLineChars="0"/>
        <w:rPr>
          <w:rFonts w:hint="default" w:ascii="Times New Roman" w:hAnsi="Times New Roman" w:cs="Times New Roman"/>
          <w:b/>
          <w:bCs/>
          <w:color w:val="auto"/>
          <w:sz w:val="21"/>
          <w:szCs w:val="21"/>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_Toc1188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eastAsia="仿宋_GB2312" w:cs="Times New Roman"/>
          <w:b/>
          <w:bCs/>
          <w:color w:val="auto"/>
          <w:sz w:val="21"/>
          <w:szCs w:val="21"/>
        </w:rPr>
        <w:t>3 环境风险识别</w:t>
      </w:r>
      <w:r>
        <w:rPr>
          <w:rFonts w:hint="default" w:ascii="Times New Roman" w:hAnsi="Times New Roman" w:cs="Times New Roman"/>
          <w:b/>
          <w:bCs/>
          <w:color w:val="auto"/>
          <w:sz w:val="21"/>
          <w:szCs w:val="21"/>
        </w:rPr>
        <w:tab/>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PAGEREF _Toc1188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4</w:t>
      </w:r>
      <w:r>
        <w:rPr>
          <w:rFonts w:hint="default" w:ascii="Times New Roman" w:hAnsi="Times New Roman"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_Toc28719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_GB2312" w:cs="Times New Roman"/>
          <w:bCs/>
          <w:color w:val="auto"/>
          <w:sz w:val="21"/>
          <w:szCs w:val="21"/>
        </w:rPr>
        <w:t>3.1企业基本信息</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_Toc28719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_Toc18008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_GB2312" w:cs="Times New Roman"/>
          <w:bCs/>
          <w:color w:val="auto"/>
          <w:kern w:val="0"/>
          <w:sz w:val="21"/>
          <w:szCs w:val="21"/>
        </w:rPr>
        <w:t>3.1.1企业概况</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_Toc18008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_Toc23281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_GB2312" w:cs="Times New Roman"/>
          <w:bCs/>
          <w:color w:val="auto"/>
          <w:kern w:val="0"/>
          <w:sz w:val="21"/>
          <w:szCs w:val="21"/>
        </w:rPr>
        <w:t>3.1.2自然环境概况</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_Toc23281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_Toc29594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rPr>
        <w:t>3.1.3环境功能区划</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_Toc29594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8</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_Toc4908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3.2</w:t>
      </w:r>
      <w:r>
        <w:rPr>
          <w:rFonts w:hint="default" w:ascii="Times New Roman" w:hAnsi="Times New Roman" w:eastAsia="仿宋" w:cs="Times New Roman"/>
          <w:bCs/>
          <w:color w:val="auto"/>
          <w:sz w:val="21"/>
          <w:szCs w:val="21"/>
          <w:lang w:eastAsia="zh-CN"/>
        </w:rPr>
        <w:t>平面布置及</w:t>
      </w:r>
      <w:r>
        <w:rPr>
          <w:rFonts w:hint="default" w:ascii="Times New Roman" w:hAnsi="Times New Roman" w:eastAsia="仿宋" w:cs="Times New Roman"/>
          <w:bCs/>
          <w:color w:val="auto"/>
          <w:sz w:val="21"/>
          <w:szCs w:val="21"/>
        </w:rPr>
        <w:t>周边环境风险受体</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_Toc4908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_Toc28930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lang w:val="en-US" w:eastAsia="zh-CN"/>
        </w:rPr>
        <w:t>3.2.1</w:t>
      </w:r>
      <w:r>
        <w:rPr>
          <w:rFonts w:hint="default" w:ascii="Times New Roman" w:hAnsi="Times New Roman" w:eastAsia="仿宋" w:cs="Times New Roman"/>
          <w:bCs/>
          <w:color w:val="auto"/>
          <w:kern w:val="0"/>
          <w:sz w:val="21"/>
          <w:szCs w:val="21"/>
          <w:lang w:eastAsia="zh-CN"/>
        </w:rPr>
        <w:t>平面布置</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_Toc28930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_Toc30289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lang w:val="en-US" w:eastAsia="zh-CN"/>
        </w:rPr>
        <w:t>3.2.2周边环境风险受体</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_Toc30289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_Toc19616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3.3涉及环境风险物质情况</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_Toc19616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10</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_Toc3821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rPr>
        <w:t>3.3.1产品方案</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_Toc3821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_Toc20621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rPr>
        <w:t>3.3.2涉及环境风险物质信息</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_Toc20621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_Toc10630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rPr>
        <w:t>3.3.3风险物质识别</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_Toc10630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11</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_Toc24251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3.4生产工艺</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_Toc24251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12</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_Toc29102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rPr>
        <w:t>3.</w:t>
      </w:r>
      <w:r>
        <w:rPr>
          <w:rFonts w:hint="default" w:ascii="Times New Roman" w:hAnsi="Times New Roman" w:eastAsia="仿宋" w:cs="Times New Roman"/>
          <w:bCs/>
          <w:color w:val="auto"/>
          <w:kern w:val="0"/>
          <w:sz w:val="21"/>
          <w:szCs w:val="21"/>
          <w:lang w:val="en-US" w:eastAsia="zh-CN"/>
        </w:rPr>
        <w:t>4</w:t>
      </w:r>
      <w:r>
        <w:rPr>
          <w:rFonts w:hint="default" w:ascii="Times New Roman" w:hAnsi="Times New Roman" w:eastAsia="仿宋" w:cs="Times New Roman"/>
          <w:bCs/>
          <w:color w:val="auto"/>
          <w:kern w:val="0"/>
          <w:sz w:val="21"/>
          <w:szCs w:val="21"/>
        </w:rPr>
        <w:t>.</w:t>
      </w:r>
      <w:r>
        <w:rPr>
          <w:rFonts w:hint="default" w:ascii="Times New Roman" w:hAnsi="Times New Roman" w:eastAsia="仿宋" w:cs="Times New Roman"/>
          <w:bCs/>
          <w:color w:val="auto"/>
          <w:kern w:val="0"/>
          <w:sz w:val="21"/>
          <w:szCs w:val="21"/>
          <w:lang w:val="en-US" w:eastAsia="zh-CN"/>
        </w:rPr>
        <w:t>1</w:t>
      </w:r>
      <w:r>
        <w:rPr>
          <w:rFonts w:hint="default" w:ascii="Times New Roman" w:hAnsi="Times New Roman" w:eastAsia="仿宋" w:cs="Times New Roman"/>
          <w:color w:val="auto"/>
          <w:sz w:val="21"/>
          <w:szCs w:val="21"/>
        </w:rPr>
        <w:t>聚羧酸系外加剂生产工艺</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_Toc29102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12</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_Toc2133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val="en-US" w:eastAsia="zh-CN"/>
        </w:rPr>
        <w:t>3.4.2产污环节及治理措施</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_Toc2133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13</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_Toc24655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lang w:val="en-US" w:eastAsia="zh-CN"/>
        </w:rPr>
        <w:t>3.4.3主要构筑物和生产设备</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_Toc24655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14</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_Toc9536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3.5安全生产管理</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_Toc9536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17</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_Toc19904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3.6 现有环境风险物质基本情况</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_Toc19904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17</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_Toc5237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lang w:val="en-US" w:eastAsia="zh-CN"/>
        </w:rPr>
        <w:t>3.6.1大气环境风险物质识别</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_Toc5237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18</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_Toc19753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lang w:val="en-US" w:eastAsia="zh-CN"/>
        </w:rPr>
        <w:t>3.6.2水环境风险物质识别</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_Toc19753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18</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_Toc21575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3.</w:t>
      </w:r>
      <w:r>
        <w:rPr>
          <w:rFonts w:hint="default" w:ascii="Times New Roman" w:hAnsi="Times New Roman" w:eastAsia="仿宋" w:cs="Times New Roman"/>
          <w:bCs/>
          <w:color w:val="auto"/>
          <w:sz w:val="21"/>
          <w:szCs w:val="21"/>
          <w:lang w:val="en-US" w:eastAsia="zh-CN"/>
        </w:rPr>
        <w:t>7</w:t>
      </w:r>
      <w:r>
        <w:rPr>
          <w:rFonts w:hint="default" w:ascii="Times New Roman" w:hAnsi="Times New Roman" w:eastAsia="仿宋" w:cs="Times New Roman"/>
          <w:bCs/>
          <w:color w:val="auto"/>
          <w:sz w:val="21"/>
          <w:szCs w:val="21"/>
        </w:rPr>
        <w:t>现有环境风险防控及应急措施</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_Toc21575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18</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_Toc25647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lang w:val="en-US" w:eastAsia="en-US"/>
        </w:rPr>
        <w:t>3.</w:t>
      </w:r>
      <w:r>
        <w:rPr>
          <w:rFonts w:hint="default" w:ascii="Times New Roman" w:hAnsi="Times New Roman" w:eastAsia="仿宋" w:cs="Times New Roman"/>
          <w:bCs/>
          <w:color w:val="auto"/>
          <w:kern w:val="0"/>
          <w:sz w:val="21"/>
          <w:szCs w:val="21"/>
          <w:lang w:val="en-US" w:eastAsia="zh-CN"/>
        </w:rPr>
        <w:t>7</w:t>
      </w:r>
      <w:r>
        <w:rPr>
          <w:rFonts w:hint="default" w:ascii="Times New Roman" w:hAnsi="Times New Roman" w:eastAsia="仿宋" w:cs="Times New Roman"/>
          <w:bCs/>
          <w:color w:val="auto"/>
          <w:kern w:val="0"/>
          <w:sz w:val="21"/>
          <w:szCs w:val="21"/>
          <w:lang w:val="en-US" w:eastAsia="en-US"/>
        </w:rPr>
        <w:t>.1</w:t>
      </w:r>
      <w:r>
        <w:rPr>
          <w:rFonts w:hint="default" w:ascii="Times New Roman" w:hAnsi="Times New Roman" w:eastAsia="仿宋" w:cs="Times New Roman"/>
          <w:bCs/>
          <w:color w:val="auto"/>
          <w:kern w:val="0"/>
          <w:sz w:val="21"/>
          <w:szCs w:val="21"/>
          <w:lang w:val="en-US" w:eastAsia="zh-CN"/>
        </w:rPr>
        <w:t>环境风险单元的划分</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_Toc25647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18</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_Toc23004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lang w:val="en-US" w:eastAsia="en-US"/>
        </w:rPr>
        <w:t>3.</w:t>
      </w:r>
      <w:r>
        <w:rPr>
          <w:rFonts w:hint="default" w:ascii="Times New Roman" w:hAnsi="Times New Roman" w:eastAsia="仿宋" w:cs="Times New Roman"/>
          <w:bCs/>
          <w:color w:val="auto"/>
          <w:kern w:val="0"/>
          <w:sz w:val="21"/>
          <w:szCs w:val="21"/>
          <w:lang w:val="en-US" w:eastAsia="zh-CN"/>
        </w:rPr>
        <w:t>7</w:t>
      </w:r>
      <w:r>
        <w:rPr>
          <w:rFonts w:hint="default" w:ascii="Times New Roman" w:hAnsi="Times New Roman" w:eastAsia="仿宋" w:cs="Times New Roman"/>
          <w:bCs/>
          <w:color w:val="auto"/>
          <w:kern w:val="0"/>
          <w:sz w:val="21"/>
          <w:szCs w:val="21"/>
          <w:lang w:val="en-US" w:eastAsia="en-US"/>
        </w:rPr>
        <w:t>.2</w:t>
      </w:r>
      <w:r>
        <w:rPr>
          <w:rFonts w:hint="default" w:ascii="Times New Roman" w:hAnsi="Times New Roman" w:eastAsia="仿宋" w:cs="Times New Roman"/>
          <w:bCs/>
          <w:color w:val="auto"/>
          <w:kern w:val="0"/>
          <w:sz w:val="21"/>
          <w:szCs w:val="21"/>
          <w:lang w:val="en-US" w:eastAsia="zh-CN"/>
        </w:rPr>
        <w:t>现有环境风险防控情况</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_Toc23004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18</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_Toc2324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lang w:val="en-US" w:eastAsia="zh-CN"/>
        </w:rPr>
        <w:t>3.7.3 现有环境风险应急措施情况</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_Toc2324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19</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_Toc2397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lang w:val="en-US" w:eastAsia="en-US"/>
        </w:rPr>
        <w:t>3.</w:t>
      </w:r>
      <w:r>
        <w:rPr>
          <w:rFonts w:hint="default" w:ascii="Times New Roman" w:hAnsi="Times New Roman" w:eastAsia="仿宋" w:cs="Times New Roman"/>
          <w:bCs/>
          <w:color w:val="auto"/>
          <w:kern w:val="0"/>
          <w:sz w:val="21"/>
          <w:szCs w:val="21"/>
          <w:lang w:val="en-US" w:eastAsia="zh-CN"/>
        </w:rPr>
        <w:t>7</w:t>
      </w:r>
      <w:r>
        <w:rPr>
          <w:rFonts w:hint="default" w:ascii="Times New Roman" w:hAnsi="Times New Roman" w:eastAsia="仿宋" w:cs="Times New Roman"/>
          <w:bCs/>
          <w:color w:val="auto"/>
          <w:kern w:val="0"/>
          <w:sz w:val="21"/>
          <w:szCs w:val="21"/>
          <w:lang w:val="en-US" w:eastAsia="en-US"/>
        </w:rPr>
        <w:t>.</w:t>
      </w:r>
      <w:r>
        <w:rPr>
          <w:rFonts w:hint="default" w:ascii="Times New Roman" w:hAnsi="Times New Roman" w:eastAsia="仿宋" w:cs="Times New Roman"/>
          <w:bCs/>
          <w:color w:val="auto"/>
          <w:kern w:val="0"/>
          <w:sz w:val="21"/>
          <w:szCs w:val="21"/>
          <w:lang w:val="en-US" w:eastAsia="zh-CN"/>
        </w:rPr>
        <w:t>4雨排水、清净下水、生产废水排放去向</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_Toc2397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19</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_Toc25251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3.</w:t>
      </w:r>
      <w:r>
        <w:rPr>
          <w:rFonts w:hint="default" w:ascii="Times New Roman" w:hAnsi="Times New Roman" w:eastAsia="仿宋" w:cs="Times New Roman"/>
          <w:bCs/>
          <w:color w:val="auto"/>
          <w:sz w:val="21"/>
          <w:szCs w:val="21"/>
          <w:lang w:val="en-US" w:eastAsia="zh-CN"/>
        </w:rPr>
        <w:t>8</w:t>
      </w:r>
      <w:r>
        <w:rPr>
          <w:rFonts w:hint="default" w:ascii="Times New Roman" w:hAnsi="Times New Roman" w:eastAsia="仿宋" w:cs="Times New Roman"/>
          <w:bCs/>
          <w:color w:val="auto"/>
          <w:sz w:val="21"/>
          <w:szCs w:val="21"/>
        </w:rPr>
        <w:t>现有应急资源</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_Toc25251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22</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_Toc31908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lang w:val="en-US" w:eastAsia="zh-CN"/>
        </w:rPr>
        <w:t>3.8.1现有应急物资和装备</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_Toc31908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22</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_Toc24730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lang w:val="en-US" w:eastAsia="zh-CN"/>
        </w:rPr>
        <w:t>3.8.2现有应急救援队伍情况</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_Toc24730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23</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_Toc29817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3.9 风险单元风险识别</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_Toc29817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24</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ind w:left="0" w:leftChars="0" w:firstLine="0" w:firstLineChars="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_Toc14468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eastAsia="仿宋" w:cs="Times New Roman"/>
          <w:b/>
          <w:bCs/>
          <w:color w:val="auto"/>
          <w:sz w:val="21"/>
          <w:szCs w:val="21"/>
        </w:rPr>
        <w:t>4</w:t>
      </w:r>
      <w:r>
        <w:rPr>
          <w:rFonts w:hint="eastAsia"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rPr>
        <w:t>突发环境事件及其后果分析</w:t>
      </w:r>
      <w:r>
        <w:rPr>
          <w:rFonts w:hint="default" w:ascii="Times New Roman" w:hAnsi="Times New Roman" w:eastAsia="仿宋" w:cs="Times New Roman"/>
          <w:b/>
          <w:bCs/>
          <w:color w:val="auto"/>
          <w:sz w:val="21"/>
          <w:szCs w:val="21"/>
        </w:rPr>
        <w:tab/>
      </w:r>
      <w:r>
        <w:rPr>
          <w:rFonts w:hint="default" w:ascii="Times New Roman" w:hAnsi="Times New Roman" w:eastAsia="仿宋" w:cs="Times New Roman"/>
          <w:b/>
          <w:bCs/>
          <w:color w:val="auto"/>
          <w:sz w:val="21"/>
          <w:szCs w:val="21"/>
        </w:rPr>
        <w:fldChar w:fldCharType="begin"/>
      </w:r>
      <w:r>
        <w:rPr>
          <w:rFonts w:hint="default" w:ascii="Times New Roman" w:hAnsi="Times New Roman" w:eastAsia="仿宋" w:cs="Times New Roman"/>
          <w:b/>
          <w:bCs/>
          <w:color w:val="auto"/>
          <w:sz w:val="21"/>
          <w:szCs w:val="21"/>
        </w:rPr>
        <w:instrText xml:space="preserve"> PAGEREF _Toc14468 </w:instrText>
      </w:r>
      <w:r>
        <w:rPr>
          <w:rFonts w:hint="default" w:ascii="Times New Roman" w:hAnsi="Times New Roman" w:eastAsia="仿宋" w:cs="Times New Roman"/>
          <w:b/>
          <w:bCs/>
          <w:color w:val="auto"/>
          <w:sz w:val="21"/>
          <w:szCs w:val="21"/>
        </w:rPr>
        <w:fldChar w:fldCharType="separate"/>
      </w:r>
      <w:r>
        <w:rPr>
          <w:rFonts w:hint="default" w:ascii="Times New Roman" w:hAnsi="Times New Roman" w:eastAsia="仿宋" w:cs="Times New Roman"/>
          <w:b/>
          <w:bCs/>
          <w:color w:val="auto"/>
          <w:sz w:val="21"/>
          <w:szCs w:val="21"/>
        </w:rPr>
        <w:t>25</w:t>
      </w:r>
      <w:r>
        <w:rPr>
          <w:rFonts w:hint="default" w:ascii="Times New Roman" w:hAnsi="Times New Roman" w:eastAsia="仿宋"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_Toc28831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4.1</w:t>
      </w:r>
      <w:r>
        <w:rPr>
          <w:rFonts w:hint="default" w:ascii="Times New Roman" w:hAnsi="Times New Roman" w:eastAsia="仿宋" w:cs="Times New Roman"/>
          <w:color w:val="auto"/>
          <w:sz w:val="21"/>
          <w:szCs w:val="21"/>
          <w:lang w:eastAsia="zh-CN"/>
        </w:rPr>
        <w:t>突发环境事件情景分析</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_Toc28831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25</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_Toc29198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4.1</w:t>
      </w:r>
      <w:r>
        <w:rPr>
          <w:rFonts w:hint="default" w:ascii="Times New Roman" w:hAnsi="Times New Roman" w:eastAsia="仿宋" w:cs="Times New Roman"/>
          <w:color w:val="auto"/>
          <w:sz w:val="21"/>
          <w:szCs w:val="21"/>
          <w:lang w:val="en-US" w:eastAsia="zh-CN"/>
        </w:rPr>
        <w:t>.1</w:t>
      </w:r>
      <w:r>
        <w:rPr>
          <w:rFonts w:hint="eastAsia"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lang w:eastAsia="zh-CN"/>
        </w:rPr>
        <w:t>相关企业</w:t>
      </w:r>
      <w:r>
        <w:rPr>
          <w:rFonts w:hint="default" w:ascii="Times New Roman" w:hAnsi="Times New Roman" w:eastAsia="仿宋" w:cs="Times New Roman"/>
          <w:color w:val="auto"/>
          <w:sz w:val="21"/>
          <w:szCs w:val="21"/>
        </w:rPr>
        <w:t>突发环境事件举例</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_Toc29198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25</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_Toc3378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eastAsia="zh-CN"/>
        </w:rPr>
        <w:t>4.</w:t>
      </w:r>
      <w:r>
        <w:rPr>
          <w:rFonts w:hint="default"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lang w:eastAsia="zh-CN"/>
        </w:rPr>
        <w:t>2</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lang w:eastAsia="zh-CN"/>
        </w:rPr>
        <w:t>企业可能发生的突发环境事件及其后果分析</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_Toc3378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25</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_Toc18273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eastAsia="zh-CN"/>
        </w:rPr>
        <w:t>4.2突发环境事件源强分析</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_Toc18273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28</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_Toc30770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val="en-US" w:eastAsia="zh-CN"/>
        </w:rPr>
        <w:t>4.2.1泄露事故源强分析</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_Toc30770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28</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_Toc274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val="en-US" w:eastAsia="zh-CN"/>
        </w:rPr>
        <w:t>4.2.3废气超标排放事故源强分析</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_Toc274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29</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_Toc10286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4.3环境风险物质释放途径、风险防控与应急措施、应急资源</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_Toc10286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29</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_Toc29331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4.4 突发环境事件危害后果分析</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_Toc29331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30</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_Toc1382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4.4.</w:t>
      </w:r>
      <w:r>
        <w:rPr>
          <w:rFonts w:hint="default" w:ascii="Times New Roman" w:hAnsi="Times New Roman" w:eastAsia="仿宋" w:cs="Times New Roman"/>
          <w:bCs/>
          <w:color w:val="auto"/>
          <w:sz w:val="21"/>
          <w:szCs w:val="21"/>
          <w:lang w:val="en-US" w:eastAsia="zh-CN"/>
        </w:rPr>
        <w:t>1</w:t>
      </w:r>
      <w:r>
        <w:rPr>
          <w:rFonts w:hint="default" w:ascii="Times New Roman" w:hAnsi="Times New Roman" w:eastAsia="仿宋" w:cs="Times New Roman"/>
          <w:bCs/>
          <w:color w:val="auto"/>
          <w:sz w:val="21"/>
          <w:szCs w:val="21"/>
        </w:rPr>
        <w:t xml:space="preserve"> </w:t>
      </w:r>
      <w:r>
        <w:rPr>
          <w:rFonts w:hint="default" w:ascii="Times New Roman" w:hAnsi="Times New Roman" w:eastAsia="仿宋" w:cs="Times New Roman"/>
          <w:bCs/>
          <w:color w:val="auto"/>
          <w:sz w:val="21"/>
          <w:szCs w:val="21"/>
          <w:lang w:eastAsia="zh-CN"/>
        </w:rPr>
        <w:t>泄露</w:t>
      </w:r>
      <w:r>
        <w:rPr>
          <w:rFonts w:hint="default" w:ascii="Times New Roman" w:hAnsi="Times New Roman" w:eastAsia="仿宋" w:cs="Times New Roman"/>
          <w:bCs/>
          <w:color w:val="auto"/>
          <w:sz w:val="21"/>
          <w:szCs w:val="21"/>
        </w:rPr>
        <w:t>事故环境影响危害后果分析</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_Toc1382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30</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_Toc9051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4.4.</w:t>
      </w:r>
      <w:r>
        <w:rPr>
          <w:rFonts w:hint="default" w:ascii="Times New Roman" w:hAnsi="Times New Roman" w:eastAsia="仿宋" w:cs="Times New Roman"/>
          <w:bCs/>
          <w:color w:val="auto"/>
          <w:sz w:val="21"/>
          <w:szCs w:val="21"/>
          <w:lang w:val="en-US" w:eastAsia="zh-CN"/>
        </w:rPr>
        <w:t>2</w:t>
      </w:r>
      <w:r>
        <w:rPr>
          <w:rFonts w:hint="default" w:ascii="Times New Roman" w:hAnsi="Times New Roman" w:eastAsia="仿宋" w:cs="Times New Roman"/>
          <w:bCs/>
          <w:color w:val="auto"/>
          <w:sz w:val="21"/>
          <w:szCs w:val="21"/>
        </w:rPr>
        <w:t xml:space="preserve"> 火灾爆炸事故环境影响</w:t>
      </w:r>
      <w:r>
        <w:rPr>
          <w:rFonts w:hint="default" w:ascii="Times New Roman" w:hAnsi="Times New Roman" w:eastAsia="仿宋" w:cs="Times New Roman"/>
          <w:bCs/>
          <w:color w:val="auto"/>
          <w:sz w:val="21"/>
          <w:szCs w:val="21"/>
          <w:lang w:eastAsia="zh-CN"/>
        </w:rPr>
        <w:t>及伴生、次生</w:t>
      </w:r>
      <w:r>
        <w:rPr>
          <w:rFonts w:hint="default" w:ascii="Times New Roman" w:hAnsi="Times New Roman" w:eastAsia="仿宋" w:cs="Times New Roman"/>
          <w:bCs/>
          <w:color w:val="auto"/>
          <w:sz w:val="21"/>
          <w:szCs w:val="21"/>
        </w:rPr>
        <w:t>危害后果分析</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_Toc9051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33</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_Toc222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eastAsia="zh-CN"/>
        </w:rPr>
        <w:t>4.4.</w:t>
      </w:r>
      <w:r>
        <w:rPr>
          <w:rFonts w:hint="default" w:ascii="Times New Roman" w:hAnsi="Times New Roman" w:eastAsia="仿宋" w:cs="Times New Roman"/>
          <w:bCs/>
          <w:color w:val="auto"/>
          <w:sz w:val="21"/>
          <w:szCs w:val="21"/>
          <w:lang w:val="en-US" w:eastAsia="zh-CN"/>
        </w:rPr>
        <w:t>3</w:t>
      </w:r>
      <w:r>
        <w:rPr>
          <w:rFonts w:hint="default" w:ascii="Times New Roman" w:hAnsi="Times New Roman" w:eastAsia="仿宋" w:cs="Times New Roman"/>
          <w:bCs/>
          <w:color w:val="auto"/>
          <w:sz w:val="21"/>
          <w:szCs w:val="21"/>
          <w:lang w:eastAsia="zh-CN"/>
        </w:rPr>
        <w:t xml:space="preserve"> 废气超标排放事故环境影响危害后果分析</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_Toc222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34</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_Toc21021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4.4.</w:t>
      </w:r>
      <w:r>
        <w:rPr>
          <w:rFonts w:hint="default" w:ascii="Times New Roman" w:hAnsi="Times New Roman" w:eastAsia="仿宋" w:cs="Times New Roman"/>
          <w:bCs/>
          <w:color w:val="auto"/>
          <w:sz w:val="21"/>
          <w:szCs w:val="21"/>
          <w:lang w:val="en-US" w:eastAsia="zh-CN"/>
        </w:rPr>
        <w:t>4</w:t>
      </w:r>
      <w:r>
        <w:rPr>
          <w:rFonts w:hint="default" w:ascii="Times New Roman" w:hAnsi="Times New Roman" w:eastAsia="仿宋" w:cs="Times New Roman"/>
          <w:bCs/>
          <w:color w:val="auto"/>
          <w:sz w:val="21"/>
          <w:szCs w:val="21"/>
        </w:rPr>
        <w:t xml:space="preserve"> </w:t>
      </w:r>
      <w:r>
        <w:rPr>
          <w:rFonts w:hint="default" w:ascii="Times New Roman" w:hAnsi="Times New Roman" w:eastAsia="仿宋" w:cs="Times New Roman"/>
          <w:bCs/>
          <w:color w:val="auto"/>
          <w:sz w:val="21"/>
          <w:szCs w:val="21"/>
          <w:lang w:eastAsia="zh-CN"/>
        </w:rPr>
        <w:t>废水超标排放</w:t>
      </w:r>
      <w:r>
        <w:rPr>
          <w:rFonts w:hint="default" w:ascii="Times New Roman" w:hAnsi="Times New Roman" w:eastAsia="仿宋" w:cs="Times New Roman"/>
          <w:bCs/>
          <w:color w:val="auto"/>
          <w:sz w:val="21"/>
          <w:szCs w:val="21"/>
        </w:rPr>
        <w:t>事故环境影响危害后果分析</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_Toc21021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34</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_Toc12604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4.4.</w:t>
      </w:r>
      <w:r>
        <w:rPr>
          <w:rFonts w:hint="default" w:ascii="Times New Roman" w:hAnsi="Times New Roman" w:eastAsia="仿宋" w:cs="Times New Roman"/>
          <w:bCs/>
          <w:color w:val="auto"/>
          <w:sz w:val="21"/>
          <w:szCs w:val="21"/>
          <w:lang w:val="en-US" w:eastAsia="zh-CN"/>
        </w:rPr>
        <w:t>5</w:t>
      </w:r>
      <w:r>
        <w:rPr>
          <w:rFonts w:hint="default" w:ascii="Times New Roman" w:hAnsi="Times New Roman" w:eastAsia="仿宋" w:cs="Times New Roman"/>
          <w:bCs/>
          <w:color w:val="auto"/>
          <w:sz w:val="21"/>
          <w:szCs w:val="21"/>
          <w:lang w:eastAsia="zh-CN"/>
        </w:rPr>
        <w:t>地质灾害、暴雨、台风产生的次生灾害</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_Toc12604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34</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ind w:left="0" w:leftChars="0" w:firstLine="0" w:firstLineChars="0"/>
        <w:rPr>
          <w:rFonts w:hint="default" w:ascii="Times New Roman" w:hAnsi="Times New Roman" w:cs="Times New Roman"/>
          <w:b/>
          <w:bCs/>
          <w:color w:val="auto"/>
          <w:sz w:val="21"/>
          <w:szCs w:val="21"/>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_Toc10937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eastAsia="仿宋" w:cs="Times New Roman"/>
          <w:b/>
          <w:bCs/>
          <w:color w:val="auto"/>
          <w:sz w:val="21"/>
          <w:szCs w:val="21"/>
        </w:rPr>
        <w:t>5</w:t>
      </w:r>
      <w:r>
        <w:rPr>
          <w:rFonts w:hint="default" w:ascii="Times New Roman" w:hAnsi="Times New Roman" w:eastAsia="仿宋" w:cs="Times New Roman"/>
          <w:b/>
          <w:bCs/>
          <w:color w:val="auto"/>
          <w:kern w:val="0"/>
          <w:sz w:val="21"/>
          <w:szCs w:val="21"/>
        </w:rPr>
        <w:t>现有环境风险防控和应急措施差距分析</w:t>
      </w:r>
      <w:r>
        <w:rPr>
          <w:rFonts w:hint="default" w:ascii="Times New Roman" w:hAnsi="Times New Roman" w:cs="Times New Roman"/>
          <w:b/>
          <w:bCs/>
          <w:color w:val="auto"/>
          <w:sz w:val="21"/>
          <w:szCs w:val="21"/>
        </w:rPr>
        <w:tab/>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PAGEREF _Toc10937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35</w:t>
      </w:r>
      <w:r>
        <w:rPr>
          <w:rFonts w:hint="default" w:ascii="Times New Roman" w:hAnsi="Times New Roman"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_Toc2920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5.1</w:t>
      </w:r>
      <w:r>
        <w:rPr>
          <w:rFonts w:hint="default" w:ascii="Times New Roman" w:hAnsi="Times New Roman" w:eastAsia="仿宋" w:cs="Times New Roman"/>
          <w:bCs/>
          <w:color w:val="auto"/>
          <w:sz w:val="21"/>
          <w:szCs w:val="21"/>
        </w:rPr>
        <w:t>、环境风险管理制度</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_Toc2920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35</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_Toc3287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5.2风险防控与应急措施</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_Toc3287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35</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_Toc15681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5.3环境应急资源</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_Toc15681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36</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_Toc28753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5.4历史经验教训总结</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_Toc28753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36</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_Toc8933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5.</w:t>
      </w:r>
      <w:r>
        <w:rPr>
          <w:rFonts w:hint="default" w:ascii="Times New Roman" w:hAnsi="Times New Roman" w:eastAsia="仿宋" w:cs="Times New Roman"/>
          <w:bCs/>
          <w:color w:val="auto"/>
          <w:sz w:val="21"/>
          <w:szCs w:val="21"/>
          <w:lang w:val="en-US" w:eastAsia="zh-CN"/>
        </w:rPr>
        <w:t>5</w:t>
      </w:r>
      <w:r>
        <w:rPr>
          <w:rFonts w:hint="default" w:ascii="Times New Roman" w:hAnsi="Times New Roman" w:eastAsia="仿宋" w:cs="Times New Roman"/>
          <w:bCs/>
          <w:color w:val="auto"/>
          <w:sz w:val="21"/>
          <w:szCs w:val="21"/>
        </w:rPr>
        <w:t>需要整改的短期、中期和长期项目内容</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_Toc8933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36</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_Toc7628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5.6 完善环境风险防控与应急措施的实施计划</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_Toc7628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37</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ind w:left="0" w:leftChars="0" w:firstLine="0" w:firstLineChars="0"/>
        <w:rPr>
          <w:rFonts w:hint="default" w:ascii="Times New Roman" w:hAnsi="Times New Roman" w:cs="Times New Roman"/>
          <w:b/>
          <w:bCs/>
          <w:color w:val="auto"/>
          <w:sz w:val="21"/>
          <w:szCs w:val="21"/>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_Toc21347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eastAsia="仿宋" w:cs="Times New Roman"/>
          <w:b/>
          <w:bCs/>
          <w:color w:val="auto"/>
          <w:sz w:val="21"/>
          <w:szCs w:val="21"/>
        </w:rPr>
        <w:t>6企业突发环境事件风险等级</w:t>
      </w:r>
      <w:r>
        <w:rPr>
          <w:rFonts w:hint="default" w:ascii="Times New Roman" w:hAnsi="Times New Roman" w:cs="Times New Roman"/>
          <w:b/>
          <w:bCs/>
          <w:color w:val="auto"/>
          <w:sz w:val="21"/>
          <w:szCs w:val="21"/>
        </w:rPr>
        <w:tab/>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PAGEREF _Toc21347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37</w:t>
      </w:r>
      <w:r>
        <w:rPr>
          <w:rFonts w:hint="default" w:ascii="Times New Roman" w:hAnsi="Times New Roman"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_Toc25901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6.1企业突发环境事件分级程序</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_Toc25901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37</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_Toc26573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val="en-US" w:eastAsia="zh-CN"/>
        </w:rPr>
        <w:t>6.</w:t>
      </w:r>
      <w:r>
        <w:rPr>
          <w:rFonts w:hint="default" w:ascii="Times New Roman" w:hAnsi="Times New Roman" w:eastAsia="仿宋" w:cs="Times New Roman"/>
          <w:color w:val="auto"/>
          <w:sz w:val="21"/>
          <w:szCs w:val="21"/>
        </w:rPr>
        <w:t>2突发大气环境事件分级</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_Toc26573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38</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_Toc2272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6.2.1涉气风险物质数量与临界量比值（Q）</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_Toc2272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38</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_Toc30723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6.2.2生产工艺与大气环境风险控制水平（M）</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_Toc30723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38</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_Toc3064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6.2.3 大气环境风险受体敏感程度（E）</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_Toc3064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40</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_Toc25263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6.2.4突发大气环境事件风险等级确定</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_Toc25263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41</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_Toc17078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6.2.5突发大气环境事件风险等级表征</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_Toc17078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42</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_Toc25163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6.3突发水环境事件分级</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_Toc25163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42</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_Toc16386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6.3.1涉水风险物质数量与临界量比值（Q）</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_Toc16386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42</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_Toc16166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6.3.2生产工艺与大气环境风险控制水平（M）</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_Toc16166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42</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_Toc20432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6.3.3水环境风险受体敏感程度（E）</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_Toc20432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45</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_Toc11970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6.3.4突发水环境事件风险等级确定</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_Toc11970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46</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_Toc28043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6.3.5突发水环境事件风险等级表征</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_Toc28043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46</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_Toc13064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6.4企业突发环境事件风险等级确定与调整</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_Toc13064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47</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_Toc24312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6.4.1风险等级确定</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_Toc24312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47</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_Toc8221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6.4.2风险等级调整</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_Toc8221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47</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_Toc7997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6.4.3风险等级表征</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_Toc7997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47</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pos="3600"/>
          <w:tab w:val="right" w:leader="dot" w:pos="8640"/>
        </w:tabs>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kern w:val="0"/>
          <w:sz w:val="24"/>
          <w:szCs w:val="24"/>
        </w:rPr>
        <w:fldChar w:fldCharType="begin"/>
      </w:r>
      <w:r>
        <w:rPr>
          <w:rFonts w:hint="default" w:ascii="Times New Roman" w:hAnsi="Times New Roman" w:eastAsia="仿宋" w:cs="Times New Roman"/>
          <w:b/>
          <w:bCs/>
          <w:color w:val="auto"/>
          <w:kern w:val="0"/>
          <w:sz w:val="24"/>
          <w:szCs w:val="24"/>
        </w:rPr>
        <w:instrText xml:space="preserve"> HYPERLINK \l _Toc26080 </w:instrText>
      </w:r>
      <w:r>
        <w:rPr>
          <w:rFonts w:hint="default" w:ascii="Times New Roman" w:hAnsi="Times New Roman" w:eastAsia="仿宋" w:cs="Times New Roman"/>
          <w:b/>
          <w:bCs/>
          <w:color w:val="auto"/>
          <w:kern w:val="0"/>
          <w:sz w:val="24"/>
          <w:szCs w:val="24"/>
        </w:rPr>
        <w:fldChar w:fldCharType="separate"/>
      </w:r>
      <w:r>
        <w:rPr>
          <w:rFonts w:hint="default" w:ascii="Times New Roman" w:hAnsi="Times New Roman" w:eastAsia="仿宋" w:cs="Times New Roman"/>
          <w:b/>
          <w:bCs/>
          <w:color w:val="auto"/>
          <w:spacing w:val="2"/>
          <w:w w:val="100"/>
          <w:sz w:val="24"/>
          <w:szCs w:val="24"/>
        </w:rPr>
        <w:t>第</w:t>
      </w:r>
      <w:r>
        <w:rPr>
          <w:rFonts w:hint="default" w:ascii="Times New Roman" w:hAnsi="Times New Roman" w:eastAsia="仿宋" w:cs="Times New Roman"/>
          <w:b/>
          <w:bCs/>
          <w:color w:val="auto"/>
          <w:spacing w:val="-1"/>
          <w:w w:val="100"/>
          <w:sz w:val="24"/>
          <w:szCs w:val="24"/>
        </w:rPr>
        <w:t>二</w:t>
      </w:r>
      <w:r>
        <w:rPr>
          <w:rFonts w:hint="default" w:ascii="Times New Roman" w:hAnsi="Times New Roman" w:eastAsia="仿宋" w:cs="Times New Roman"/>
          <w:b/>
          <w:bCs/>
          <w:color w:val="auto"/>
          <w:spacing w:val="2"/>
          <w:w w:val="100"/>
          <w:sz w:val="24"/>
          <w:szCs w:val="24"/>
        </w:rPr>
        <w:t>部</w:t>
      </w:r>
      <w:r>
        <w:rPr>
          <w:rFonts w:hint="default" w:ascii="Times New Roman" w:hAnsi="Times New Roman" w:eastAsia="仿宋" w:cs="Times New Roman"/>
          <w:b/>
          <w:bCs/>
          <w:color w:val="auto"/>
          <w:spacing w:val="0"/>
          <w:w w:val="100"/>
          <w:sz w:val="24"/>
          <w:szCs w:val="24"/>
        </w:rPr>
        <w:t>分</w:t>
      </w:r>
      <w:r>
        <w:rPr>
          <w:rFonts w:hint="default" w:ascii="Times New Roman" w:hAnsi="Times New Roman" w:eastAsia="仿宋" w:cs="Times New Roman"/>
          <w:b/>
          <w:bCs/>
          <w:color w:val="auto"/>
          <w:spacing w:val="0"/>
          <w:w w:val="100"/>
          <w:sz w:val="24"/>
          <w:szCs w:val="24"/>
        </w:rPr>
        <w:tab/>
      </w:r>
      <w:r>
        <w:rPr>
          <w:rFonts w:hint="default" w:ascii="Times New Roman" w:hAnsi="Times New Roman" w:eastAsia="仿宋" w:cs="Times New Roman"/>
          <w:b/>
          <w:bCs/>
          <w:color w:val="auto"/>
          <w:spacing w:val="2"/>
          <w:w w:val="100"/>
          <w:sz w:val="24"/>
          <w:szCs w:val="24"/>
        </w:rPr>
        <w:t>环</w:t>
      </w:r>
      <w:r>
        <w:rPr>
          <w:rFonts w:hint="default" w:ascii="Times New Roman" w:hAnsi="Times New Roman" w:eastAsia="仿宋" w:cs="Times New Roman"/>
          <w:b/>
          <w:bCs/>
          <w:color w:val="auto"/>
          <w:spacing w:val="-1"/>
          <w:w w:val="100"/>
          <w:sz w:val="24"/>
          <w:szCs w:val="24"/>
        </w:rPr>
        <w:t>境</w:t>
      </w:r>
      <w:r>
        <w:rPr>
          <w:rFonts w:hint="default" w:ascii="Times New Roman" w:hAnsi="Times New Roman" w:eastAsia="仿宋" w:cs="Times New Roman"/>
          <w:b/>
          <w:bCs/>
          <w:color w:val="auto"/>
          <w:spacing w:val="2"/>
          <w:w w:val="100"/>
          <w:sz w:val="24"/>
          <w:szCs w:val="24"/>
        </w:rPr>
        <w:t>应</w:t>
      </w:r>
      <w:r>
        <w:rPr>
          <w:rFonts w:hint="default" w:ascii="Times New Roman" w:hAnsi="Times New Roman" w:eastAsia="仿宋" w:cs="Times New Roman"/>
          <w:b/>
          <w:bCs/>
          <w:color w:val="auto"/>
          <w:spacing w:val="-1"/>
          <w:w w:val="100"/>
          <w:sz w:val="24"/>
          <w:szCs w:val="24"/>
        </w:rPr>
        <w:t>急</w:t>
      </w:r>
      <w:r>
        <w:rPr>
          <w:rFonts w:hint="default" w:ascii="Times New Roman" w:hAnsi="Times New Roman" w:eastAsia="仿宋" w:cs="Times New Roman"/>
          <w:b/>
          <w:bCs/>
          <w:color w:val="auto"/>
          <w:spacing w:val="2"/>
          <w:w w:val="100"/>
          <w:sz w:val="24"/>
          <w:szCs w:val="24"/>
        </w:rPr>
        <w:t>资</w:t>
      </w:r>
      <w:r>
        <w:rPr>
          <w:rFonts w:hint="default" w:ascii="Times New Roman" w:hAnsi="Times New Roman" w:eastAsia="仿宋" w:cs="Times New Roman"/>
          <w:b/>
          <w:bCs/>
          <w:color w:val="auto"/>
          <w:spacing w:val="-1"/>
          <w:w w:val="100"/>
          <w:sz w:val="24"/>
          <w:szCs w:val="24"/>
        </w:rPr>
        <w:t>源</w:t>
      </w:r>
      <w:r>
        <w:rPr>
          <w:rFonts w:hint="default" w:ascii="Times New Roman" w:hAnsi="Times New Roman" w:eastAsia="仿宋" w:cs="Times New Roman"/>
          <w:b/>
          <w:bCs/>
          <w:color w:val="auto"/>
          <w:spacing w:val="2"/>
          <w:w w:val="100"/>
          <w:sz w:val="24"/>
          <w:szCs w:val="24"/>
        </w:rPr>
        <w:t>调</w:t>
      </w:r>
      <w:r>
        <w:rPr>
          <w:rFonts w:hint="default" w:ascii="Times New Roman" w:hAnsi="Times New Roman" w:eastAsia="仿宋" w:cs="Times New Roman"/>
          <w:b/>
          <w:bCs/>
          <w:color w:val="auto"/>
          <w:spacing w:val="-1"/>
          <w:w w:val="100"/>
          <w:sz w:val="24"/>
          <w:szCs w:val="24"/>
        </w:rPr>
        <w:t>查</w:t>
      </w:r>
      <w:r>
        <w:rPr>
          <w:rFonts w:hint="default" w:ascii="Times New Roman" w:hAnsi="Times New Roman" w:eastAsia="仿宋" w:cs="Times New Roman"/>
          <w:b/>
          <w:bCs/>
          <w:color w:val="auto"/>
          <w:spacing w:val="2"/>
          <w:w w:val="100"/>
          <w:sz w:val="24"/>
          <w:szCs w:val="24"/>
        </w:rPr>
        <w:t>报</w:t>
      </w:r>
      <w:r>
        <w:rPr>
          <w:rFonts w:hint="default" w:ascii="Times New Roman" w:hAnsi="Times New Roman" w:eastAsia="仿宋" w:cs="Times New Roman"/>
          <w:b/>
          <w:bCs/>
          <w:color w:val="auto"/>
          <w:spacing w:val="0"/>
          <w:w w:val="100"/>
          <w:sz w:val="24"/>
          <w:szCs w:val="24"/>
        </w:rPr>
        <w:t>告</w:t>
      </w:r>
      <w:r>
        <w:rPr>
          <w:rFonts w:hint="default" w:ascii="Times New Roman" w:hAnsi="Times New Roman" w:eastAsia="仿宋" w:cs="Times New Roman"/>
          <w:b/>
          <w:bCs/>
          <w:color w:val="auto"/>
          <w:kern w:val="0"/>
          <w:sz w:val="24"/>
          <w:szCs w:val="24"/>
        </w:rPr>
        <w:fldChar w:fldCharType="end"/>
      </w:r>
    </w:p>
    <w:p>
      <w:pPr>
        <w:pStyle w:val="18"/>
        <w:tabs>
          <w:tab w:val="right" w:leader="dot" w:pos="8640"/>
        </w:tabs>
        <w:ind w:left="0" w:leftChars="0" w:firstLine="0" w:firstLineChars="0"/>
        <w:rPr>
          <w:rFonts w:hint="default" w:ascii="Times New Roman" w:hAnsi="Times New Roman" w:eastAsia="仿宋" w:cs="Times New Roman"/>
          <w:b w:val="0"/>
          <w:bCs w:val="0"/>
          <w:color w:val="auto"/>
          <w:sz w:val="21"/>
          <w:szCs w:val="21"/>
        </w:rPr>
      </w:pPr>
      <w:r>
        <w:rPr>
          <w:rFonts w:hint="default" w:ascii="Times New Roman" w:hAnsi="Times New Roman" w:eastAsia="仿宋" w:cs="Times New Roman"/>
          <w:b w:val="0"/>
          <w:bCs w:val="0"/>
          <w:color w:val="auto"/>
          <w:kern w:val="0"/>
          <w:sz w:val="21"/>
          <w:szCs w:val="21"/>
        </w:rPr>
        <w:fldChar w:fldCharType="begin"/>
      </w:r>
      <w:r>
        <w:rPr>
          <w:rFonts w:hint="default" w:ascii="Times New Roman" w:hAnsi="Times New Roman" w:eastAsia="仿宋" w:cs="Times New Roman"/>
          <w:b w:val="0"/>
          <w:bCs w:val="0"/>
          <w:color w:val="auto"/>
          <w:kern w:val="0"/>
          <w:sz w:val="21"/>
          <w:szCs w:val="21"/>
        </w:rPr>
        <w:instrText xml:space="preserve"> HYPERLINK \l _Toc25311 </w:instrText>
      </w:r>
      <w:r>
        <w:rPr>
          <w:rFonts w:hint="default" w:ascii="Times New Roman" w:hAnsi="Times New Roman" w:eastAsia="仿宋" w:cs="Times New Roman"/>
          <w:b w:val="0"/>
          <w:bCs w:val="0"/>
          <w:color w:val="auto"/>
          <w:kern w:val="0"/>
          <w:sz w:val="21"/>
          <w:szCs w:val="21"/>
        </w:rPr>
        <w:fldChar w:fldCharType="separate"/>
      </w:r>
      <w:r>
        <w:rPr>
          <w:rFonts w:hint="default" w:ascii="Times New Roman" w:hAnsi="Times New Roman" w:eastAsia="仿宋" w:cs="Times New Roman"/>
          <w:b w:val="0"/>
          <w:bCs w:val="0"/>
          <w:color w:val="auto"/>
          <w:sz w:val="21"/>
          <w:szCs w:val="21"/>
        </w:rPr>
        <w:t>1应急资源调查的目的</w:t>
      </w:r>
      <w:r>
        <w:rPr>
          <w:rFonts w:hint="default" w:ascii="Times New Roman" w:hAnsi="Times New Roman" w:eastAsia="仿宋" w:cs="Times New Roman"/>
          <w:b w:val="0"/>
          <w:bCs w:val="0"/>
          <w:color w:val="auto"/>
          <w:sz w:val="21"/>
          <w:szCs w:val="21"/>
        </w:rPr>
        <w:tab/>
      </w:r>
      <w:r>
        <w:rPr>
          <w:rFonts w:hint="default" w:ascii="Times New Roman" w:hAnsi="Times New Roman" w:eastAsia="仿宋" w:cs="Times New Roman"/>
          <w:b w:val="0"/>
          <w:bCs w:val="0"/>
          <w:color w:val="auto"/>
          <w:sz w:val="21"/>
          <w:szCs w:val="21"/>
        </w:rPr>
        <w:fldChar w:fldCharType="begin"/>
      </w:r>
      <w:r>
        <w:rPr>
          <w:rFonts w:hint="default" w:ascii="Times New Roman" w:hAnsi="Times New Roman" w:eastAsia="仿宋" w:cs="Times New Roman"/>
          <w:b w:val="0"/>
          <w:bCs w:val="0"/>
          <w:color w:val="auto"/>
          <w:sz w:val="21"/>
          <w:szCs w:val="21"/>
        </w:rPr>
        <w:instrText xml:space="preserve"> PAGEREF _Toc25311 </w:instrText>
      </w:r>
      <w:r>
        <w:rPr>
          <w:rFonts w:hint="default" w:ascii="Times New Roman" w:hAnsi="Times New Roman" w:eastAsia="仿宋" w:cs="Times New Roman"/>
          <w:b w:val="0"/>
          <w:bCs w:val="0"/>
          <w:color w:val="auto"/>
          <w:sz w:val="21"/>
          <w:szCs w:val="21"/>
        </w:rPr>
        <w:fldChar w:fldCharType="separate"/>
      </w:r>
      <w:r>
        <w:rPr>
          <w:rFonts w:hint="default" w:ascii="Times New Roman" w:hAnsi="Times New Roman" w:eastAsia="仿宋" w:cs="Times New Roman"/>
          <w:b w:val="0"/>
          <w:bCs w:val="0"/>
          <w:color w:val="auto"/>
          <w:sz w:val="21"/>
          <w:szCs w:val="21"/>
        </w:rPr>
        <w:t>1</w:t>
      </w:r>
      <w:r>
        <w:rPr>
          <w:rFonts w:hint="default" w:ascii="Times New Roman" w:hAnsi="Times New Roman" w:eastAsia="仿宋" w:cs="Times New Roman"/>
          <w:b w:val="0"/>
          <w:bCs w:val="0"/>
          <w:color w:val="auto"/>
          <w:sz w:val="21"/>
          <w:szCs w:val="21"/>
        </w:rPr>
        <w:fldChar w:fldCharType="end"/>
      </w:r>
      <w:r>
        <w:rPr>
          <w:rFonts w:hint="default" w:ascii="Times New Roman" w:hAnsi="Times New Roman" w:eastAsia="仿宋" w:cs="Times New Roman"/>
          <w:b w:val="0"/>
          <w:bCs w:val="0"/>
          <w:color w:val="auto"/>
          <w:kern w:val="0"/>
          <w:sz w:val="21"/>
          <w:szCs w:val="21"/>
        </w:rPr>
        <w:fldChar w:fldCharType="end"/>
      </w:r>
    </w:p>
    <w:p>
      <w:pPr>
        <w:pStyle w:val="18"/>
        <w:tabs>
          <w:tab w:val="right" w:leader="dot" w:pos="8640"/>
        </w:tabs>
        <w:ind w:left="0" w:leftChars="0" w:firstLine="0" w:firstLineChars="0"/>
        <w:rPr>
          <w:rFonts w:hint="default" w:ascii="Times New Roman" w:hAnsi="Times New Roman" w:eastAsia="仿宋" w:cs="Times New Roman"/>
          <w:b/>
          <w:bCs/>
          <w:color w:val="auto"/>
          <w:sz w:val="21"/>
          <w:szCs w:val="21"/>
        </w:rPr>
      </w:pPr>
      <w:r>
        <w:rPr>
          <w:rFonts w:hint="default" w:ascii="Times New Roman" w:hAnsi="Times New Roman" w:eastAsia="仿宋" w:cs="Times New Roman"/>
          <w:b w:val="0"/>
          <w:bCs w:val="0"/>
          <w:color w:val="auto"/>
          <w:kern w:val="0"/>
          <w:sz w:val="21"/>
          <w:szCs w:val="21"/>
        </w:rPr>
        <w:fldChar w:fldCharType="begin"/>
      </w:r>
      <w:r>
        <w:rPr>
          <w:rFonts w:hint="default" w:ascii="Times New Roman" w:hAnsi="Times New Roman" w:eastAsia="仿宋" w:cs="Times New Roman"/>
          <w:b w:val="0"/>
          <w:bCs w:val="0"/>
          <w:color w:val="auto"/>
          <w:kern w:val="0"/>
          <w:sz w:val="21"/>
          <w:szCs w:val="21"/>
        </w:rPr>
        <w:instrText xml:space="preserve"> HYPERLINK \l _Toc25177 </w:instrText>
      </w:r>
      <w:r>
        <w:rPr>
          <w:rFonts w:hint="default" w:ascii="Times New Roman" w:hAnsi="Times New Roman" w:eastAsia="仿宋" w:cs="Times New Roman"/>
          <w:b w:val="0"/>
          <w:bCs w:val="0"/>
          <w:color w:val="auto"/>
          <w:kern w:val="0"/>
          <w:sz w:val="21"/>
          <w:szCs w:val="21"/>
        </w:rPr>
        <w:fldChar w:fldCharType="separate"/>
      </w:r>
      <w:r>
        <w:rPr>
          <w:rFonts w:hint="default" w:ascii="Times New Roman" w:hAnsi="Times New Roman" w:eastAsia="仿宋" w:cs="Times New Roman"/>
          <w:b w:val="0"/>
          <w:bCs w:val="0"/>
          <w:color w:val="auto"/>
          <w:sz w:val="21"/>
          <w:szCs w:val="21"/>
          <w:lang w:val="en-US" w:eastAsia="zh-CN"/>
        </w:rPr>
        <w:t xml:space="preserve">2 </w:t>
      </w:r>
      <w:r>
        <w:rPr>
          <w:rFonts w:hint="default" w:ascii="Times New Roman" w:hAnsi="Times New Roman" w:eastAsia="仿宋" w:cs="Times New Roman"/>
          <w:b w:val="0"/>
          <w:bCs w:val="0"/>
          <w:color w:val="auto"/>
          <w:sz w:val="21"/>
          <w:szCs w:val="21"/>
          <w:lang w:eastAsia="zh-CN"/>
        </w:rPr>
        <w:t>江苏超力建材科技</w:t>
      </w:r>
      <w:r>
        <w:rPr>
          <w:rFonts w:hint="default" w:ascii="Times New Roman" w:hAnsi="Times New Roman" w:eastAsia="仿宋" w:cs="Times New Roman"/>
          <w:b w:val="0"/>
          <w:bCs w:val="0"/>
          <w:color w:val="auto"/>
          <w:sz w:val="21"/>
          <w:szCs w:val="21"/>
        </w:rPr>
        <w:t>有限公司环境应急资源调查报告</w:t>
      </w:r>
      <w:r>
        <w:rPr>
          <w:rFonts w:hint="default" w:ascii="Times New Roman" w:hAnsi="Times New Roman" w:eastAsia="仿宋" w:cs="Times New Roman"/>
          <w:b w:val="0"/>
          <w:bCs w:val="0"/>
          <w:color w:val="auto"/>
          <w:sz w:val="21"/>
          <w:szCs w:val="21"/>
          <w:lang w:eastAsia="zh-CN"/>
        </w:rPr>
        <w:t>表</w:t>
      </w:r>
      <w:r>
        <w:rPr>
          <w:rFonts w:hint="default" w:ascii="Times New Roman" w:hAnsi="Times New Roman" w:eastAsia="仿宋" w:cs="Times New Roman"/>
          <w:b w:val="0"/>
          <w:bCs w:val="0"/>
          <w:color w:val="auto"/>
          <w:sz w:val="21"/>
          <w:szCs w:val="21"/>
        </w:rPr>
        <w:tab/>
      </w:r>
      <w:r>
        <w:rPr>
          <w:rFonts w:hint="default" w:ascii="Times New Roman" w:hAnsi="Times New Roman" w:eastAsia="仿宋" w:cs="Times New Roman"/>
          <w:b w:val="0"/>
          <w:bCs w:val="0"/>
          <w:color w:val="auto"/>
          <w:sz w:val="21"/>
          <w:szCs w:val="21"/>
        </w:rPr>
        <w:fldChar w:fldCharType="begin"/>
      </w:r>
      <w:r>
        <w:rPr>
          <w:rFonts w:hint="default" w:ascii="Times New Roman" w:hAnsi="Times New Roman" w:eastAsia="仿宋" w:cs="Times New Roman"/>
          <w:b w:val="0"/>
          <w:bCs w:val="0"/>
          <w:color w:val="auto"/>
          <w:sz w:val="21"/>
          <w:szCs w:val="21"/>
        </w:rPr>
        <w:instrText xml:space="preserve"> PAGEREF _Toc25177 </w:instrText>
      </w:r>
      <w:r>
        <w:rPr>
          <w:rFonts w:hint="default" w:ascii="Times New Roman" w:hAnsi="Times New Roman" w:eastAsia="仿宋" w:cs="Times New Roman"/>
          <w:b w:val="0"/>
          <w:bCs w:val="0"/>
          <w:color w:val="auto"/>
          <w:sz w:val="21"/>
          <w:szCs w:val="21"/>
        </w:rPr>
        <w:fldChar w:fldCharType="separate"/>
      </w:r>
      <w:r>
        <w:rPr>
          <w:rFonts w:hint="default" w:ascii="Times New Roman" w:hAnsi="Times New Roman" w:eastAsia="仿宋" w:cs="Times New Roman"/>
          <w:b w:val="0"/>
          <w:bCs w:val="0"/>
          <w:color w:val="auto"/>
          <w:sz w:val="21"/>
          <w:szCs w:val="21"/>
        </w:rPr>
        <w:t>1</w:t>
      </w:r>
      <w:r>
        <w:rPr>
          <w:rFonts w:hint="default" w:ascii="Times New Roman" w:hAnsi="Times New Roman" w:eastAsia="仿宋" w:cs="Times New Roman"/>
          <w:b w:val="0"/>
          <w:bCs w:val="0"/>
          <w:color w:val="auto"/>
          <w:sz w:val="21"/>
          <w:szCs w:val="21"/>
        </w:rPr>
        <w:fldChar w:fldCharType="end"/>
      </w:r>
      <w:r>
        <w:rPr>
          <w:rFonts w:hint="default" w:ascii="Times New Roman" w:hAnsi="Times New Roman" w:eastAsia="仿宋" w:cs="Times New Roman"/>
          <w:b w:val="0"/>
          <w:bCs w:val="0"/>
          <w:color w:val="auto"/>
          <w:kern w:val="0"/>
          <w:sz w:val="21"/>
          <w:szCs w:val="21"/>
        </w:rPr>
        <w:fldChar w:fldCharType="end"/>
      </w:r>
    </w:p>
    <w:p>
      <w:pPr>
        <w:pStyle w:val="18"/>
        <w:tabs>
          <w:tab w:val="right" w:pos="3600"/>
          <w:tab w:val="right" w:leader="dot" w:pos="8640"/>
        </w:tabs>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kern w:val="0"/>
          <w:sz w:val="24"/>
          <w:szCs w:val="24"/>
        </w:rPr>
        <w:fldChar w:fldCharType="begin"/>
      </w:r>
      <w:r>
        <w:rPr>
          <w:rFonts w:hint="default" w:ascii="Times New Roman" w:hAnsi="Times New Roman" w:eastAsia="仿宋" w:cs="Times New Roman"/>
          <w:b/>
          <w:bCs/>
          <w:color w:val="auto"/>
          <w:kern w:val="0"/>
          <w:sz w:val="24"/>
          <w:szCs w:val="24"/>
        </w:rPr>
        <w:instrText xml:space="preserve"> HYPERLINK \l _Toc1274 </w:instrText>
      </w:r>
      <w:r>
        <w:rPr>
          <w:rFonts w:hint="default" w:ascii="Times New Roman" w:hAnsi="Times New Roman" w:eastAsia="仿宋" w:cs="Times New Roman"/>
          <w:b/>
          <w:bCs/>
          <w:color w:val="auto"/>
          <w:kern w:val="0"/>
          <w:sz w:val="24"/>
          <w:szCs w:val="24"/>
        </w:rPr>
        <w:fldChar w:fldCharType="separate"/>
      </w:r>
      <w:r>
        <w:rPr>
          <w:rFonts w:hint="default" w:ascii="Times New Roman" w:hAnsi="Times New Roman" w:eastAsia="仿宋" w:cs="Times New Roman"/>
          <w:b/>
          <w:bCs/>
          <w:color w:val="auto"/>
          <w:spacing w:val="2"/>
          <w:w w:val="100"/>
          <w:sz w:val="24"/>
          <w:szCs w:val="24"/>
        </w:rPr>
        <w:t>第</w:t>
      </w:r>
      <w:r>
        <w:rPr>
          <w:rFonts w:hint="default" w:ascii="Times New Roman" w:hAnsi="Times New Roman" w:eastAsia="仿宋" w:cs="Times New Roman"/>
          <w:b/>
          <w:bCs/>
          <w:color w:val="auto"/>
          <w:spacing w:val="-1"/>
          <w:w w:val="100"/>
          <w:sz w:val="24"/>
          <w:szCs w:val="24"/>
        </w:rPr>
        <w:t>三</w:t>
      </w:r>
      <w:r>
        <w:rPr>
          <w:rFonts w:hint="default" w:ascii="Times New Roman" w:hAnsi="Times New Roman" w:eastAsia="仿宋" w:cs="Times New Roman"/>
          <w:b/>
          <w:bCs/>
          <w:color w:val="auto"/>
          <w:spacing w:val="2"/>
          <w:w w:val="100"/>
          <w:sz w:val="24"/>
          <w:szCs w:val="24"/>
        </w:rPr>
        <w:t>部</w:t>
      </w:r>
      <w:r>
        <w:rPr>
          <w:rFonts w:hint="default" w:ascii="Times New Roman" w:hAnsi="Times New Roman" w:eastAsia="仿宋" w:cs="Times New Roman"/>
          <w:b/>
          <w:bCs/>
          <w:color w:val="auto"/>
          <w:spacing w:val="0"/>
          <w:w w:val="100"/>
          <w:sz w:val="24"/>
          <w:szCs w:val="24"/>
        </w:rPr>
        <w:t>分</w:t>
      </w:r>
      <w:r>
        <w:rPr>
          <w:rFonts w:hint="default" w:ascii="Times New Roman" w:hAnsi="Times New Roman" w:eastAsia="仿宋" w:cs="Times New Roman"/>
          <w:b/>
          <w:bCs/>
          <w:color w:val="auto"/>
          <w:spacing w:val="0"/>
          <w:w w:val="100"/>
          <w:sz w:val="24"/>
          <w:szCs w:val="24"/>
        </w:rPr>
        <w:tab/>
      </w:r>
      <w:r>
        <w:rPr>
          <w:rFonts w:hint="default" w:ascii="Times New Roman" w:hAnsi="Times New Roman" w:eastAsia="仿宋" w:cs="Times New Roman"/>
          <w:b/>
          <w:bCs/>
          <w:color w:val="auto"/>
          <w:spacing w:val="2"/>
          <w:w w:val="100"/>
          <w:sz w:val="24"/>
          <w:szCs w:val="24"/>
        </w:rPr>
        <w:t>突</w:t>
      </w:r>
      <w:r>
        <w:rPr>
          <w:rFonts w:hint="default" w:ascii="Times New Roman" w:hAnsi="Times New Roman" w:eastAsia="仿宋" w:cs="Times New Roman"/>
          <w:b/>
          <w:bCs/>
          <w:color w:val="auto"/>
          <w:spacing w:val="-1"/>
          <w:w w:val="100"/>
          <w:sz w:val="24"/>
          <w:szCs w:val="24"/>
        </w:rPr>
        <w:t>发</w:t>
      </w:r>
      <w:r>
        <w:rPr>
          <w:rFonts w:hint="default" w:ascii="Times New Roman" w:hAnsi="Times New Roman" w:eastAsia="仿宋" w:cs="Times New Roman"/>
          <w:b/>
          <w:bCs/>
          <w:color w:val="auto"/>
          <w:spacing w:val="2"/>
          <w:w w:val="100"/>
          <w:sz w:val="24"/>
          <w:szCs w:val="24"/>
        </w:rPr>
        <w:t>环</w:t>
      </w:r>
      <w:r>
        <w:rPr>
          <w:rFonts w:hint="default" w:ascii="Times New Roman" w:hAnsi="Times New Roman" w:eastAsia="仿宋" w:cs="Times New Roman"/>
          <w:b/>
          <w:bCs/>
          <w:color w:val="auto"/>
          <w:spacing w:val="-1"/>
          <w:w w:val="100"/>
          <w:sz w:val="24"/>
          <w:szCs w:val="24"/>
        </w:rPr>
        <w:t>境</w:t>
      </w:r>
      <w:r>
        <w:rPr>
          <w:rFonts w:hint="default" w:ascii="Times New Roman" w:hAnsi="Times New Roman" w:eastAsia="仿宋" w:cs="Times New Roman"/>
          <w:b/>
          <w:bCs/>
          <w:color w:val="auto"/>
          <w:spacing w:val="2"/>
          <w:w w:val="100"/>
          <w:sz w:val="24"/>
          <w:szCs w:val="24"/>
        </w:rPr>
        <w:t>事</w:t>
      </w:r>
      <w:r>
        <w:rPr>
          <w:rFonts w:hint="default" w:ascii="Times New Roman" w:hAnsi="Times New Roman" w:eastAsia="仿宋" w:cs="Times New Roman"/>
          <w:b/>
          <w:bCs/>
          <w:color w:val="auto"/>
          <w:spacing w:val="-1"/>
          <w:w w:val="100"/>
          <w:sz w:val="24"/>
          <w:szCs w:val="24"/>
        </w:rPr>
        <w:t>件</w:t>
      </w:r>
      <w:r>
        <w:rPr>
          <w:rFonts w:hint="default" w:ascii="Times New Roman" w:hAnsi="Times New Roman" w:eastAsia="仿宋" w:cs="Times New Roman"/>
          <w:b/>
          <w:bCs/>
          <w:color w:val="auto"/>
          <w:spacing w:val="2"/>
          <w:w w:val="100"/>
          <w:sz w:val="24"/>
          <w:szCs w:val="24"/>
        </w:rPr>
        <w:t>应</w:t>
      </w:r>
      <w:r>
        <w:rPr>
          <w:rFonts w:hint="default" w:ascii="Times New Roman" w:hAnsi="Times New Roman" w:eastAsia="仿宋" w:cs="Times New Roman"/>
          <w:b/>
          <w:bCs/>
          <w:color w:val="auto"/>
          <w:spacing w:val="-1"/>
          <w:w w:val="100"/>
          <w:sz w:val="24"/>
          <w:szCs w:val="24"/>
        </w:rPr>
        <w:t>急</w:t>
      </w:r>
      <w:r>
        <w:rPr>
          <w:rFonts w:hint="default" w:ascii="Times New Roman" w:hAnsi="Times New Roman" w:eastAsia="仿宋" w:cs="Times New Roman"/>
          <w:b/>
          <w:bCs/>
          <w:color w:val="auto"/>
          <w:spacing w:val="2"/>
          <w:w w:val="100"/>
          <w:sz w:val="24"/>
          <w:szCs w:val="24"/>
        </w:rPr>
        <w:t>预</w:t>
      </w:r>
      <w:r>
        <w:rPr>
          <w:rFonts w:hint="default" w:ascii="Times New Roman" w:hAnsi="Times New Roman" w:eastAsia="仿宋" w:cs="Times New Roman"/>
          <w:b/>
          <w:bCs/>
          <w:color w:val="auto"/>
          <w:spacing w:val="0"/>
          <w:w w:val="100"/>
          <w:sz w:val="24"/>
          <w:szCs w:val="24"/>
        </w:rPr>
        <w:t>案</w:t>
      </w:r>
      <w:r>
        <w:rPr>
          <w:rFonts w:hint="default" w:ascii="Times New Roman" w:hAnsi="Times New Roman" w:eastAsia="仿宋" w:cs="Times New Roman"/>
          <w:b/>
          <w:bCs/>
          <w:color w:val="auto"/>
          <w:kern w:val="0"/>
          <w:sz w:val="24"/>
          <w:szCs w:val="24"/>
        </w:rPr>
        <w:fldChar w:fldCharType="end"/>
      </w:r>
    </w:p>
    <w:p>
      <w:pPr>
        <w:pStyle w:val="18"/>
        <w:tabs>
          <w:tab w:val="right" w:leader="dot" w:pos="8640"/>
        </w:tabs>
        <w:ind w:left="0" w:leftChars="0" w:firstLine="0" w:firstLineChars="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_Toc27807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eastAsia="仿宋" w:cs="Times New Roman"/>
          <w:b/>
          <w:bCs/>
          <w:color w:val="auto"/>
          <w:sz w:val="21"/>
          <w:szCs w:val="21"/>
        </w:rPr>
        <w:t>1总则</w:t>
      </w:r>
      <w:r>
        <w:rPr>
          <w:rFonts w:hint="default" w:ascii="Times New Roman" w:hAnsi="Times New Roman" w:eastAsia="仿宋" w:cs="Times New Roman"/>
          <w:b/>
          <w:bCs/>
          <w:color w:val="auto"/>
          <w:sz w:val="21"/>
          <w:szCs w:val="21"/>
        </w:rPr>
        <w:tab/>
      </w:r>
      <w:r>
        <w:rPr>
          <w:rFonts w:hint="default" w:ascii="Times New Roman" w:hAnsi="Times New Roman" w:eastAsia="仿宋" w:cs="Times New Roman"/>
          <w:b/>
          <w:bCs/>
          <w:color w:val="auto"/>
          <w:sz w:val="21"/>
          <w:szCs w:val="21"/>
        </w:rPr>
        <w:fldChar w:fldCharType="begin"/>
      </w:r>
      <w:r>
        <w:rPr>
          <w:rFonts w:hint="default" w:ascii="Times New Roman" w:hAnsi="Times New Roman" w:eastAsia="仿宋" w:cs="Times New Roman"/>
          <w:b/>
          <w:bCs/>
          <w:color w:val="auto"/>
          <w:sz w:val="21"/>
          <w:szCs w:val="21"/>
        </w:rPr>
        <w:instrText xml:space="preserve"> PAGEREF _Toc27807 </w:instrText>
      </w:r>
      <w:r>
        <w:rPr>
          <w:rFonts w:hint="default" w:ascii="Times New Roman" w:hAnsi="Times New Roman" w:eastAsia="仿宋" w:cs="Times New Roman"/>
          <w:b/>
          <w:bCs/>
          <w:color w:val="auto"/>
          <w:sz w:val="21"/>
          <w:szCs w:val="21"/>
        </w:rPr>
        <w:fldChar w:fldCharType="separate"/>
      </w:r>
      <w:r>
        <w:rPr>
          <w:rFonts w:hint="default" w:ascii="Times New Roman" w:hAnsi="Times New Roman" w:eastAsia="仿宋" w:cs="Times New Roman"/>
          <w:b/>
          <w:bCs/>
          <w:color w:val="auto"/>
          <w:sz w:val="21"/>
          <w:szCs w:val="21"/>
        </w:rPr>
        <w:t>1</w:t>
      </w:r>
      <w:r>
        <w:rPr>
          <w:rFonts w:hint="default" w:ascii="Times New Roman" w:hAnsi="Times New Roman" w:eastAsia="仿宋"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_Toc28421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1.1 编制目的</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_Toc28421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_Toc1030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1.2</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编制依据</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_Toc1030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_Toc22488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1.2.1</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法律、法规、规章</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_Toc22488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_Toc11662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1.2.2</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导则、标准</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_Toc11662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_Toc23512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1.2.3</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国家、地方预案及相关专项预案</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_Toc23512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_Toc6630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1.3</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应急预案的适用范围</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_Toc6630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_Toc16234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1.3.1</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适用范围</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_Toc16234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_Toc16519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1.3.2突发环境事件的类型</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_Toc16519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_Toc30240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1.4 突发环境事件分级标准</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_Toc30240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_Toc7234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1.5 应急预案体系</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_Toc7234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_Toc8037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1.6.1</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编制要求</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_Toc8037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_Toc15770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1.6.2</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编制原则</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_Toc15770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_Toc29004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eastAsia="zh-CN"/>
        </w:rPr>
        <w:t>1.7突发环境事件应急预案的启动</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_Toc29004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6</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ind w:left="0" w:leftChars="0" w:firstLine="0" w:firstLineChars="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_Toc23475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eastAsia="仿宋" w:cs="Times New Roman"/>
          <w:b/>
          <w:bCs/>
          <w:color w:val="auto"/>
          <w:sz w:val="21"/>
          <w:szCs w:val="21"/>
        </w:rPr>
        <w:t>2基本情况调查</w:t>
      </w:r>
      <w:r>
        <w:rPr>
          <w:rFonts w:hint="default" w:ascii="Times New Roman" w:hAnsi="Times New Roman" w:eastAsia="仿宋" w:cs="Times New Roman"/>
          <w:b/>
          <w:bCs/>
          <w:color w:val="auto"/>
          <w:sz w:val="21"/>
          <w:szCs w:val="21"/>
        </w:rPr>
        <w:tab/>
      </w:r>
      <w:r>
        <w:rPr>
          <w:rFonts w:hint="default" w:ascii="Times New Roman" w:hAnsi="Times New Roman" w:eastAsia="仿宋" w:cs="Times New Roman"/>
          <w:b/>
          <w:bCs/>
          <w:color w:val="auto"/>
          <w:sz w:val="21"/>
          <w:szCs w:val="21"/>
        </w:rPr>
        <w:fldChar w:fldCharType="begin"/>
      </w:r>
      <w:r>
        <w:rPr>
          <w:rFonts w:hint="default" w:ascii="Times New Roman" w:hAnsi="Times New Roman" w:eastAsia="仿宋" w:cs="Times New Roman"/>
          <w:b/>
          <w:bCs/>
          <w:color w:val="auto"/>
          <w:sz w:val="21"/>
          <w:szCs w:val="21"/>
        </w:rPr>
        <w:instrText xml:space="preserve"> PAGEREF _Toc23475 </w:instrText>
      </w:r>
      <w:r>
        <w:rPr>
          <w:rFonts w:hint="default" w:ascii="Times New Roman" w:hAnsi="Times New Roman" w:eastAsia="仿宋" w:cs="Times New Roman"/>
          <w:b/>
          <w:bCs/>
          <w:color w:val="auto"/>
          <w:sz w:val="21"/>
          <w:szCs w:val="21"/>
        </w:rPr>
        <w:fldChar w:fldCharType="separate"/>
      </w:r>
      <w:r>
        <w:rPr>
          <w:rFonts w:hint="default" w:ascii="Times New Roman" w:hAnsi="Times New Roman" w:eastAsia="仿宋" w:cs="Times New Roman"/>
          <w:b/>
          <w:bCs/>
          <w:color w:val="auto"/>
          <w:sz w:val="21"/>
          <w:szCs w:val="21"/>
        </w:rPr>
        <w:t>6</w:t>
      </w:r>
      <w:r>
        <w:rPr>
          <w:rFonts w:hint="default" w:ascii="Times New Roman" w:hAnsi="Times New Roman" w:eastAsia="仿宋"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_Toc15033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2.1 企业基本概况</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_Toc15033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6</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_Toc30435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2.1.1企业简介</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_Toc30435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6</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_Toc23266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2.1.2自然环境状况</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_Toc23266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6</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_Toc14556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2.2环境风险源基本情况调查</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_Toc14556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7</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_Toc18111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2.2.1主要建（构）筑物及产品方案</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_Toc18111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7</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_Toc5272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eastAsia="zh-CN"/>
        </w:rPr>
        <w:t>2.2.2公辅工程</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_Toc5272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7</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_Toc14258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eastAsia="zh-CN"/>
        </w:rPr>
        <w:t>2.2.3生产主要原、辅材料及理化、毒理性质</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_Toc14258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8</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_Toc3809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eastAsia="zh-CN"/>
        </w:rPr>
        <w:t>2.2.4化学品贮存情况</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_Toc3809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8</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_Toc21648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eastAsia="zh-CN"/>
        </w:rPr>
        <w:t>2.2.</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lang w:eastAsia="zh-CN"/>
        </w:rPr>
        <w:t>生产工艺</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_Toc21648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_Toc15292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eastAsia="zh-CN"/>
        </w:rPr>
        <w:t>2.2.</w:t>
      </w:r>
      <w:r>
        <w:rPr>
          <w:rFonts w:hint="default" w:ascii="Times New Roman" w:hAnsi="Times New Roman" w:eastAsia="仿宋" w:cs="Times New Roman"/>
          <w:color w:val="auto"/>
          <w:sz w:val="21"/>
          <w:szCs w:val="21"/>
          <w:lang w:val="en-US" w:eastAsia="zh-CN"/>
        </w:rPr>
        <w:t>6</w:t>
      </w:r>
      <w:r>
        <w:rPr>
          <w:rFonts w:hint="default" w:ascii="Times New Roman" w:hAnsi="Times New Roman" w:eastAsia="仿宋" w:cs="Times New Roman"/>
          <w:color w:val="auto"/>
          <w:sz w:val="21"/>
          <w:szCs w:val="21"/>
          <w:lang w:eastAsia="zh-CN"/>
        </w:rPr>
        <w:t>污染防治措施</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_Toc15292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_Toc20419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2.3周边环境状况及风险评价目标</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_Toc20419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11</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_Toc8316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pacing w:val="1"/>
          <w:w w:val="100"/>
          <w:sz w:val="21"/>
          <w:szCs w:val="21"/>
        </w:rPr>
        <w:t>2.3.</w:t>
      </w:r>
      <w:r>
        <w:rPr>
          <w:rFonts w:hint="default" w:ascii="Times New Roman" w:hAnsi="Times New Roman" w:eastAsia="仿宋" w:cs="Times New Roman"/>
          <w:bCs/>
          <w:color w:val="auto"/>
          <w:spacing w:val="0"/>
          <w:w w:val="100"/>
          <w:sz w:val="21"/>
          <w:szCs w:val="21"/>
        </w:rPr>
        <w:t>1</w:t>
      </w:r>
      <w:r>
        <w:rPr>
          <w:rFonts w:hint="default" w:ascii="Times New Roman" w:hAnsi="Times New Roman" w:eastAsia="仿宋" w:cs="Times New Roman"/>
          <w:bCs/>
          <w:color w:val="auto"/>
          <w:spacing w:val="-72"/>
          <w:w w:val="100"/>
          <w:sz w:val="21"/>
          <w:szCs w:val="21"/>
        </w:rPr>
        <w:t xml:space="preserve"> </w:t>
      </w:r>
      <w:r>
        <w:rPr>
          <w:rFonts w:hint="default" w:ascii="Times New Roman" w:hAnsi="Times New Roman" w:eastAsia="仿宋" w:cs="Times New Roman"/>
          <w:bCs/>
          <w:color w:val="auto"/>
          <w:spacing w:val="-1"/>
          <w:w w:val="100"/>
          <w:sz w:val="21"/>
          <w:szCs w:val="21"/>
        </w:rPr>
        <w:t>周边环境</w:t>
      </w:r>
      <w:r>
        <w:rPr>
          <w:rFonts w:hint="default" w:ascii="Times New Roman" w:hAnsi="Times New Roman" w:eastAsia="仿宋" w:cs="Times New Roman"/>
          <w:bCs/>
          <w:color w:val="auto"/>
          <w:spacing w:val="2"/>
          <w:w w:val="100"/>
          <w:sz w:val="21"/>
          <w:szCs w:val="21"/>
        </w:rPr>
        <w:t>状</w:t>
      </w:r>
      <w:r>
        <w:rPr>
          <w:rFonts w:hint="default" w:ascii="Times New Roman" w:hAnsi="Times New Roman" w:eastAsia="仿宋" w:cs="Times New Roman"/>
          <w:bCs/>
          <w:color w:val="auto"/>
          <w:spacing w:val="0"/>
          <w:w w:val="100"/>
          <w:sz w:val="21"/>
          <w:szCs w:val="21"/>
        </w:rPr>
        <w:t>况</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_Toc8316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11</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_Toc2968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pacing w:val="-1"/>
          <w:w w:val="100"/>
          <w:sz w:val="21"/>
          <w:szCs w:val="21"/>
        </w:rPr>
        <w:t>2.3.2 环境保护目标</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_Toc2968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11</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ind w:left="0" w:leftChars="0" w:firstLine="0" w:firstLineChars="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_Toc26458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eastAsia="仿宋" w:cs="Times New Roman"/>
          <w:b/>
          <w:bCs/>
          <w:color w:val="auto"/>
          <w:sz w:val="21"/>
          <w:szCs w:val="21"/>
        </w:rPr>
        <w:t>3 环境风险源与环境风险评价</w:t>
      </w:r>
      <w:r>
        <w:rPr>
          <w:rFonts w:hint="default" w:ascii="Times New Roman" w:hAnsi="Times New Roman" w:eastAsia="仿宋" w:cs="Times New Roman"/>
          <w:b/>
          <w:bCs/>
          <w:color w:val="auto"/>
          <w:sz w:val="21"/>
          <w:szCs w:val="21"/>
        </w:rPr>
        <w:tab/>
      </w:r>
      <w:r>
        <w:rPr>
          <w:rFonts w:hint="default" w:ascii="Times New Roman" w:hAnsi="Times New Roman" w:eastAsia="仿宋" w:cs="Times New Roman"/>
          <w:b/>
          <w:bCs/>
          <w:color w:val="auto"/>
          <w:sz w:val="21"/>
          <w:szCs w:val="21"/>
        </w:rPr>
        <w:fldChar w:fldCharType="begin"/>
      </w:r>
      <w:r>
        <w:rPr>
          <w:rFonts w:hint="default" w:ascii="Times New Roman" w:hAnsi="Times New Roman" w:eastAsia="仿宋" w:cs="Times New Roman"/>
          <w:b/>
          <w:bCs/>
          <w:color w:val="auto"/>
          <w:sz w:val="21"/>
          <w:szCs w:val="21"/>
        </w:rPr>
        <w:instrText xml:space="preserve"> PAGEREF _Toc26458 </w:instrText>
      </w:r>
      <w:r>
        <w:rPr>
          <w:rFonts w:hint="default" w:ascii="Times New Roman" w:hAnsi="Times New Roman" w:eastAsia="仿宋" w:cs="Times New Roman"/>
          <w:b/>
          <w:bCs/>
          <w:color w:val="auto"/>
          <w:sz w:val="21"/>
          <w:szCs w:val="21"/>
        </w:rPr>
        <w:fldChar w:fldCharType="separate"/>
      </w:r>
      <w:r>
        <w:rPr>
          <w:rFonts w:hint="default" w:ascii="Times New Roman" w:hAnsi="Times New Roman" w:eastAsia="仿宋" w:cs="Times New Roman"/>
          <w:b/>
          <w:bCs/>
          <w:color w:val="auto"/>
          <w:sz w:val="21"/>
          <w:szCs w:val="21"/>
        </w:rPr>
        <w:t>11</w:t>
      </w:r>
      <w:r>
        <w:rPr>
          <w:rFonts w:hint="default" w:ascii="Times New Roman" w:hAnsi="Times New Roman" w:eastAsia="仿宋"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_Toc7682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 xml:space="preserve">3.1 </w:t>
      </w:r>
      <w:r>
        <w:rPr>
          <w:rFonts w:hint="default" w:ascii="Times New Roman" w:hAnsi="Times New Roman" w:eastAsia="仿宋" w:cs="Times New Roman"/>
          <w:color w:val="auto"/>
          <w:sz w:val="21"/>
          <w:szCs w:val="21"/>
          <w:lang w:eastAsia="zh-CN"/>
        </w:rPr>
        <w:t>危险物质</w:t>
      </w:r>
      <w:r>
        <w:rPr>
          <w:rFonts w:hint="default" w:ascii="Times New Roman" w:hAnsi="Times New Roman" w:eastAsia="仿宋" w:cs="Times New Roman"/>
          <w:color w:val="auto"/>
          <w:sz w:val="21"/>
          <w:szCs w:val="21"/>
        </w:rPr>
        <w:t>风险识别</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_Toc7682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11</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_Toc30901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pacing w:val="-1"/>
          <w:w w:val="100"/>
          <w:sz w:val="21"/>
          <w:szCs w:val="21"/>
        </w:rPr>
        <w:t xml:space="preserve">3.1.1 </w:t>
      </w:r>
      <w:r>
        <w:rPr>
          <w:rFonts w:hint="default" w:ascii="Times New Roman" w:hAnsi="Times New Roman" w:eastAsia="仿宋" w:cs="Times New Roman"/>
          <w:bCs/>
          <w:color w:val="auto"/>
          <w:spacing w:val="-1"/>
          <w:w w:val="100"/>
          <w:sz w:val="21"/>
          <w:szCs w:val="21"/>
          <w:lang w:eastAsia="zh-CN"/>
        </w:rPr>
        <w:t>生产装置</w:t>
      </w:r>
      <w:r>
        <w:rPr>
          <w:rFonts w:hint="default" w:ascii="Times New Roman" w:hAnsi="Times New Roman" w:eastAsia="仿宋" w:cs="Times New Roman"/>
          <w:bCs/>
          <w:color w:val="auto"/>
          <w:spacing w:val="-1"/>
          <w:w w:val="100"/>
          <w:sz w:val="21"/>
          <w:szCs w:val="21"/>
        </w:rPr>
        <w:t>风险识别</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_Toc30901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11</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_Toc5963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pacing w:val="-1"/>
          <w:w w:val="100"/>
          <w:sz w:val="21"/>
          <w:szCs w:val="21"/>
        </w:rPr>
        <w:t>3.1.2 主要风险源及风险因子识别</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_Toc5963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12</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_Toc28523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3.2 环境风险等级判定</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_Toc28523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12</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_Toc19348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3.3 环境风险评价结论</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_Toc19348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12</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ind w:left="0" w:leftChars="0" w:firstLine="0" w:firstLineChars="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_Toc18669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eastAsia="仿宋" w:cs="Times New Roman"/>
          <w:b/>
          <w:bCs/>
          <w:color w:val="auto"/>
          <w:sz w:val="21"/>
          <w:szCs w:val="21"/>
        </w:rPr>
        <w:t>4</w:t>
      </w:r>
      <w:r>
        <w:rPr>
          <w:rFonts w:hint="default" w:ascii="Times New Roman" w:hAnsi="Times New Roman" w:eastAsia="仿宋" w:cs="Times New Roman"/>
          <w:b/>
          <w:bCs/>
          <w:color w:val="auto"/>
          <w:sz w:val="21"/>
          <w:szCs w:val="21"/>
          <w:lang w:eastAsia="zh-CN"/>
        </w:rPr>
        <w:t>组织机构及职责</w:t>
      </w:r>
      <w:r>
        <w:rPr>
          <w:rFonts w:hint="default" w:ascii="Times New Roman" w:hAnsi="Times New Roman" w:eastAsia="仿宋" w:cs="Times New Roman"/>
          <w:b/>
          <w:bCs/>
          <w:color w:val="auto"/>
          <w:sz w:val="21"/>
          <w:szCs w:val="21"/>
        </w:rPr>
        <w:tab/>
      </w:r>
      <w:r>
        <w:rPr>
          <w:rFonts w:hint="default" w:ascii="Times New Roman" w:hAnsi="Times New Roman" w:eastAsia="仿宋" w:cs="Times New Roman"/>
          <w:b/>
          <w:bCs/>
          <w:color w:val="auto"/>
          <w:sz w:val="21"/>
          <w:szCs w:val="21"/>
        </w:rPr>
        <w:fldChar w:fldCharType="begin"/>
      </w:r>
      <w:r>
        <w:rPr>
          <w:rFonts w:hint="default" w:ascii="Times New Roman" w:hAnsi="Times New Roman" w:eastAsia="仿宋" w:cs="Times New Roman"/>
          <w:b/>
          <w:bCs/>
          <w:color w:val="auto"/>
          <w:sz w:val="21"/>
          <w:szCs w:val="21"/>
        </w:rPr>
        <w:instrText xml:space="preserve"> PAGEREF _Toc18669 </w:instrText>
      </w:r>
      <w:r>
        <w:rPr>
          <w:rFonts w:hint="default" w:ascii="Times New Roman" w:hAnsi="Times New Roman" w:eastAsia="仿宋" w:cs="Times New Roman"/>
          <w:b/>
          <w:bCs/>
          <w:color w:val="auto"/>
          <w:sz w:val="21"/>
          <w:szCs w:val="21"/>
        </w:rPr>
        <w:fldChar w:fldCharType="separate"/>
      </w:r>
      <w:r>
        <w:rPr>
          <w:rFonts w:hint="default" w:ascii="Times New Roman" w:hAnsi="Times New Roman" w:eastAsia="仿宋" w:cs="Times New Roman"/>
          <w:b/>
          <w:bCs/>
          <w:color w:val="auto"/>
          <w:sz w:val="21"/>
          <w:szCs w:val="21"/>
        </w:rPr>
        <w:t>12</w:t>
      </w:r>
      <w:r>
        <w:rPr>
          <w:rFonts w:hint="default" w:ascii="Times New Roman" w:hAnsi="Times New Roman" w:eastAsia="仿宋"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_Toc7444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4.1</w:t>
      </w:r>
      <w:r>
        <w:rPr>
          <w:rFonts w:hint="default" w:ascii="Times New Roman" w:hAnsi="Times New Roman" w:eastAsia="仿宋" w:cs="Times New Roman"/>
          <w:bCs/>
          <w:color w:val="auto"/>
          <w:sz w:val="21"/>
          <w:szCs w:val="21"/>
          <w:lang w:eastAsia="zh-CN"/>
        </w:rPr>
        <w:t>组织机构</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_Toc7444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12</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_Toc30457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eastAsia="zh-CN"/>
        </w:rPr>
        <w:t>4.2指挥机构组成及职责</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_Toc30457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13</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_Toc30059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4.2.1指挥机构组成</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_Toc30059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13</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_Toc26657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4.2.2指挥机构职责</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_Toc26657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14</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_Toc20110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4.3地方机构及职责</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_Toc20110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16</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_Toc1413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4.4内部应急救援通讯联络</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_Toc1413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16</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ind w:left="0" w:leftChars="0" w:firstLine="0" w:firstLineChars="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_Toc28695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eastAsia="仿宋" w:cs="Times New Roman"/>
          <w:b/>
          <w:bCs/>
          <w:color w:val="auto"/>
          <w:sz w:val="21"/>
          <w:szCs w:val="21"/>
        </w:rPr>
        <w:t>5预防与预警</w:t>
      </w:r>
      <w:r>
        <w:rPr>
          <w:rFonts w:hint="default" w:ascii="Times New Roman" w:hAnsi="Times New Roman" w:eastAsia="仿宋" w:cs="Times New Roman"/>
          <w:b/>
          <w:bCs/>
          <w:color w:val="auto"/>
          <w:sz w:val="21"/>
          <w:szCs w:val="21"/>
        </w:rPr>
        <w:tab/>
      </w:r>
      <w:r>
        <w:rPr>
          <w:rFonts w:hint="default" w:ascii="Times New Roman" w:hAnsi="Times New Roman" w:eastAsia="仿宋" w:cs="Times New Roman"/>
          <w:b/>
          <w:bCs/>
          <w:color w:val="auto"/>
          <w:sz w:val="21"/>
          <w:szCs w:val="21"/>
        </w:rPr>
        <w:fldChar w:fldCharType="begin"/>
      </w:r>
      <w:r>
        <w:rPr>
          <w:rFonts w:hint="default" w:ascii="Times New Roman" w:hAnsi="Times New Roman" w:eastAsia="仿宋" w:cs="Times New Roman"/>
          <w:b/>
          <w:bCs/>
          <w:color w:val="auto"/>
          <w:sz w:val="21"/>
          <w:szCs w:val="21"/>
        </w:rPr>
        <w:instrText xml:space="preserve"> PAGEREF _Toc28695 </w:instrText>
      </w:r>
      <w:r>
        <w:rPr>
          <w:rFonts w:hint="default" w:ascii="Times New Roman" w:hAnsi="Times New Roman" w:eastAsia="仿宋" w:cs="Times New Roman"/>
          <w:b/>
          <w:bCs/>
          <w:color w:val="auto"/>
          <w:sz w:val="21"/>
          <w:szCs w:val="21"/>
        </w:rPr>
        <w:fldChar w:fldCharType="separate"/>
      </w:r>
      <w:r>
        <w:rPr>
          <w:rFonts w:hint="default" w:ascii="Times New Roman" w:hAnsi="Times New Roman" w:eastAsia="仿宋" w:cs="Times New Roman"/>
          <w:b/>
          <w:bCs/>
          <w:color w:val="auto"/>
          <w:sz w:val="21"/>
          <w:szCs w:val="21"/>
        </w:rPr>
        <w:t>16</w:t>
      </w:r>
      <w:r>
        <w:rPr>
          <w:rFonts w:hint="default" w:ascii="Times New Roman" w:hAnsi="Times New Roman" w:eastAsia="仿宋"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_Toc22381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5.1环境风险源监控</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_Toc22381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16</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_Toc27639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5.2预防措施</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_Toc27639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17</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_Toc20391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5.</w:t>
      </w:r>
      <w:r>
        <w:rPr>
          <w:rFonts w:hint="default" w:ascii="Times New Roman" w:hAnsi="Times New Roman" w:eastAsia="仿宋" w:cs="Times New Roman"/>
          <w:bCs/>
          <w:color w:val="auto"/>
          <w:sz w:val="21"/>
          <w:szCs w:val="21"/>
        </w:rPr>
        <w:t>3 预警</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_Toc20391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20</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_Toc32223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5</w:t>
      </w:r>
      <w:r>
        <w:rPr>
          <w:rFonts w:hint="default" w:ascii="Times New Roman" w:hAnsi="Times New Roman" w:eastAsia="仿宋" w:cs="Times New Roman"/>
          <w:bCs/>
          <w:color w:val="auto"/>
          <w:sz w:val="21"/>
          <w:szCs w:val="21"/>
        </w:rPr>
        <w:t>.3.1 预警分级</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_Toc32223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21</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_Toc28623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5.3.2 预警条件</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_Toc28623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22</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_Toc19170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5.3.3 发布预警方式、方法</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_Toc19170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22</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_Toc29428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5</w:t>
      </w:r>
      <w:r>
        <w:rPr>
          <w:rFonts w:hint="default" w:ascii="Times New Roman" w:hAnsi="Times New Roman" w:eastAsia="仿宋" w:cs="Times New Roman"/>
          <w:bCs/>
          <w:color w:val="auto"/>
          <w:sz w:val="21"/>
          <w:szCs w:val="21"/>
        </w:rPr>
        <w:t>.4 报警、通讯联络方式</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_Toc29428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23</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_Toc11025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5.4.1 报警方式</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_Toc11025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23</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ind w:left="0" w:leftChars="0" w:firstLine="0" w:firstLineChars="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_Toc7470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eastAsia="仿宋" w:cs="Times New Roman"/>
          <w:b/>
          <w:bCs/>
          <w:color w:val="auto"/>
          <w:sz w:val="21"/>
          <w:szCs w:val="21"/>
        </w:rPr>
        <w:t>6信息报告与通报</w:t>
      </w:r>
      <w:r>
        <w:rPr>
          <w:rFonts w:hint="default" w:ascii="Times New Roman" w:hAnsi="Times New Roman" w:eastAsia="仿宋" w:cs="Times New Roman"/>
          <w:b/>
          <w:bCs/>
          <w:color w:val="auto"/>
          <w:sz w:val="21"/>
          <w:szCs w:val="21"/>
        </w:rPr>
        <w:tab/>
      </w:r>
      <w:r>
        <w:rPr>
          <w:rFonts w:hint="default" w:ascii="Times New Roman" w:hAnsi="Times New Roman" w:eastAsia="仿宋" w:cs="Times New Roman"/>
          <w:b/>
          <w:bCs/>
          <w:color w:val="auto"/>
          <w:sz w:val="21"/>
          <w:szCs w:val="21"/>
        </w:rPr>
        <w:fldChar w:fldCharType="begin"/>
      </w:r>
      <w:r>
        <w:rPr>
          <w:rFonts w:hint="default" w:ascii="Times New Roman" w:hAnsi="Times New Roman" w:eastAsia="仿宋" w:cs="Times New Roman"/>
          <w:b/>
          <w:bCs/>
          <w:color w:val="auto"/>
          <w:sz w:val="21"/>
          <w:szCs w:val="21"/>
        </w:rPr>
        <w:instrText xml:space="preserve"> PAGEREF _Toc7470 </w:instrText>
      </w:r>
      <w:r>
        <w:rPr>
          <w:rFonts w:hint="default" w:ascii="Times New Roman" w:hAnsi="Times New Roman" w:eastAsia="仿宋" w:cs="Times New Roman"/>
          <w:b/>
          <w:bCs/>
          <w:color w:val="auto"/>
          <w:sz w:val="21"/>
          <w:szCs w:val="21"/>
        </w:rPr>
        <w:fldChar w:fldCharType="separate"/>
      </w:r>
      <w:r>
        <w:rPr>
          <w:rFonts w:hint="default" w:ascii="Times New Roman" w:hAnsi="Times New Roman" w:eastAsia="仿宋" w:cs="Times New Roman"/>
          <w:b/>
          <w:bCs/>
          <w:color w:val="auto"/>
          <w:sz w:val="21"/>
          <w:szCs w:val="21"/>
        </w:rPr>
        <w:t>24</w:t>
      </w:r>
      <w:r>
        <w:rPr>
          <w:rFonts w:hint="default" w:ascii="Times New Roman" w:hAnsi="Times New Roman" w:eastAsia="仿宋"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_Toc13611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6.1 内部报告时限和程序</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_Toc13611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24</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_Toc10532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rPr>
        <w:t>6.2</w:t>
      </w:r>
      <w:r>
        <w:rPr>
          <w:rFonts w:hint="default" w:ascii="Times New Roman" w:hAnsi="Times New Roman" w:eastAsia="仿宋" w:cs="Times New Roman"/>
          <w:color w:val="auto"/>
          <w:sz w:val="21"/>
          <w:szCs w:val="21"/>
          <w:lang w:eastAsia="zh-CN"/>
        </w:rPr>
        <w:t>信息上报</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_Toc10532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25</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_Toc17558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6</w:t>
      </w:r>
      <w:r>
        <w:rPr>
          <w:rFonts w:hint="default" w:ascii="Times New Roman" w:hAnsi="Times New Roman" w:eastAsia="仿宋" w:cs="Times New Roman"/>
          <w:color w:val="auto"/>
          <w:sz w:val="21"/>
          <w:szCs w:val="21"/>
          <w:lang w:val="en-US" w:eastAsia="zh-CN"/>
        </w:rPr>
        <w:t>.3</w:t>
      </w:r>
      <w:r>
        <w:rPr>
          <w:rFonts w:hint="default" w:ascii="Times New Roman" w:hAnsi="Times New Roman" w:eastAsia="仿宋" w:cs="Times New Roman"/>
          <w:color w:val="auto"/>
          <w:sz w:val="21"/>
          <w:szCs w:val="21"/>
          <w:lang w:eastAsia="zh-CN"/>
        </w:rPr>
        <w:t>信息通报</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_Toc17558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25</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_Toc19099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val="en-US" w:eastAsia="zh-CN"/>
        </w:rPr>
        <w:t>6.4事件报告内容</w:t>
      </w:r>
      <w:r>
        <w:rPr>
          <w:rFonts w:hint="default" w:ascii="Times New Roman" w:hAnsi="Times New Roman" w:eastAsia="仿宋" w:cs="Times New Roman"/>
          <w:color w:val="auto"/>
          <w:sz w:val="21"/>
          <w:szCs w:val="21"/>
        </w:rPr>
        <w:tab/>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PAGEREF _Toc19099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25</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ind w:left="0" w:leftChars="0" w:firstLine="0" w:firstLineChars="0"/>
        <w:rPr>
          <w:rFonts w:hint="default" w:ascii="Times New Roman" w:hAnsi="Times New Roman" w:cs="Times New Roman"/>
          <w:b/>
          <w:bCs/>
          <w:color w:val="auto"/>
          <w:sz w:val="21"/>
          <w:szCs w:val="21"/>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_Toc13360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eastAsia="仿宋" w:cs="Times New Roman"/>
          <w:b/>
          <w:bCs/>
          <w:color w:val="auto"/>
          <w:sz w:val="21"/>
          <w:szCs w:val="21"/>
        </w:rPr>
        <w:t>7应急响应与措施</w:t>
      </w:r>
      <w:r>
        <w:rPr>
          <w:rFonts w:hint="default" w:ascii="Times New Roman" w:hAnsi="Times New Roman" w:eastAsia="仿宋" w:cs="Times New Roman"/>
          <w:b/>
          <w:bCs/>
          <w:color w:val="auto"/>
          <w:sz w:val="21"/>
          <w:szCs w:val="21"/>
        </w:rPr>
        <w:tab/>
      </w:r>
      <w:r>
        <w:rPr>
          <w:rFonts w:hint="default" w:ascii="Times New Roman" w:hAnsi="Times New Roman" w:eastAsia="仿宋" w:cs="Times New Roman"/>
          <w:b/>
          <w:bCs/>
          <w:color w:val="auto"/>
          <w:sz w:val="21"/>
          <w:szCs w:val="21"/>
        </w:rPr>
        <w:fldChar w:fldCharType="begin"/>
      </w:r>
      <w:r>
        <w:rPr>
          <w:rFonts w:hint="default" w:ascii="Times New Roman" w:hAnsi="Times New Roman" w:eastAsia="仿宋" w:cs="Times New Roman"/>
          <w:b/>
          <w:bCs/>
          <w:color w:val="auto"/>
          <w:sz w:val="21"/>
          <w:szCs w:val="21"/>
        </w:rPr>
        <w:instrText xml:space="preserve"> PAGEREF _Toc13360 </w:instrText>
      </w:r>
      <w:r>
        <w:rPr>
          <w:rFonts w:hint="default" w:ascii="Times New Roman" w:hAnsi="Times New Roman" w:eastAsia="仿宋" w:cs="Times New Roman"/>
          <w:b/>
          <w:bCs/>
          <w:color w:val="auto"/>
          <w:sz w:val="21"/>
          <w:szCs w:val="21"/>
        </w:rPr>
        <w:fldChar w:fldCharType="separate"/>
      </w:r>
      <w:r>
        <w:rPr>
          <w:rFonts w:hint="default" w:ascii="Times New Roman" w:hAnsi="Times New Roman" w:eastAsia="仿宋" w:cs="Times New Roman"/>
          <w:b/>
          <w:bCs/>
          <w:color w:val="auto"/>
          <w:sz w:val="21"/>
          <w:szCs w:val="21"/>
        </w:rPr>
        <w:t>25</w:t>
      </w:r>
      <w:r>
        <w:rPr>
          <w:rFonts w:hint="default" w:ascii="Times New Roman" w:hAnsi="Times New Roman" w:eastAsia="仿宋"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_Toc13941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val="en-US" w:eastAsia="zh-CN"/>
        </w:rPr>
        <w:t>7.1 突发环境事件分级响应机制</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_Toc13941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25</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_Toc7369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7.1.1突发环境事件分级</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_Toc7369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25</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_Toc25558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7.1.2应急响应程序</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_Toc25558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26</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_Toc7230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7.</w:t>
      </w:r>
      <w:r>
        <w:rPr>
          <w:rFonts w:hint="default" w:ascii="Times New Roman" w:hAnsi="Times New Roman" w:cs="Times New Roman"/>
          <w:bCs/>
          <w:color w:val="auto"/>
          <w:sz w:val="21"/>
          <w:szCs w:val="21"/>
          <w:lang w:val="en-US" w:eastAsia="zh-CN"/>
        </w:rPr>
        <w:t>2</w:t>
      </w:r>
      <w:r>
        <w:rPr>
          <w:rFonts w:hint="default" w:ascii="Times New Roman" w:hAnsi="Times New Roman" w:eastAsia="仿宋" w:cs="Times New Roman"/>
          <w:bCs/>
          <w:color w:val="auto"/>
          <w:sz w:val="21"/>
          <w:szCs w:val="21"/>
        </w:rPr>
        <w:t>应急措施</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_Toc7230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27</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_Toc5962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7.2.1风险物质泄漏应急措施</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_Toc5962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27</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_Toc4746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7.2.2火灾及爆炸事件应急措施</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_Toc4746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27</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_Toc4116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7.2.3 水污染事件应急措施</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_Toc4116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27</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_Toc27722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7.2.4大气污染事件应急措施</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_Toc27722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28</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_Toc12568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2"/>
          <w:sz w:val="21"/>
          <w:szCs w:val="21"/>
          <w:lang w:val="en-US" w:eastAsia="zh-CN" w:bidi="ar-SA"/>
        </w:rPr>
        <w:t>7.2.5危废泄漏事故应急措施</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_Toc12568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29</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_Toc3725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val="en-US" w:eastAsia="zh-CN"/>
        </w:rPr>
        <w:t>7.2.6危险区隔离</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_Toc3725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29</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_Toc2559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val="en-US" w:eastAsia="zh-CN"/>
        </w:rPr>
        <w:t>7.2.7现场人员的撤离</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_Toc2559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29</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_Toc21986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val="en-US" w:eastAsia="zh-CN"/>
        </w:rPr>
        <w:t>7.2.8应急人员进入、撤离现场的条件和方法</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_Toc21986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30</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_Toc2690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val="en-US" w:eastAsia="zh-CN"/>
        </w:rPr>
        <w:t>7.2.9应急救援队伍的调度及物资保障供应</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_Toc2690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30</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_Toc27384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val="en-US" w:eastAsia="zh-CN"/>
        </w:rPr>
        <w:t>7.2.10现场急救与紧急处理</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_Toc27384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30</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_Toc14591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val="en-US" w:eastAsia="zh-CN"/>
        </w:rPr>
        <w:t>7.2.11安全防护</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_Toc14591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31</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_Toc355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val="en-US" w:eastAsia="zh-CN"/>
        </w:rPr>
        <w:t>7.2.12外部指挥与协调</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_Toc355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32</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_Toc20163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val="en-US" w:eastAsia="zh-CN"/>
        </w:rPr>
        <w:t>7.2.13对政府的建议性措施</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_Toc20163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32</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_Toc31022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7.</w:t>
      </w:r>
      <w:r>
        <w:rPr>
          <w:rFonts w:hint="default" w:ascii="Times New Roman" w:hAnsi="Times New Roman" w:cs="Times New Roman"/>
          <w:bCs/>
          <w:color w:val="auto"/>
          <w:sz w:val="21"/>
          <w:szCs w:val="21"/>
          <w:lang w:val="en-US" w:eastAsia="zh-CN"/>
        </w:rPr>
        <w:t>3</w:t>
      </w:r>
      <w:r>
        <w:rPr>
          <w:rFonts w:hint="default" w:ascii="Times New Roman" w:hAnsi="Times New Roman" w:eastAsia="仿宋" w:cs="Times New Roman"/>
          <w:bCs/>
          <w:color w:val="auto"/>
          <w:sz w:val="21"/>
          <w:szCs w:val="21"/>
        </w:rPr>
        <w:t>应急监测</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_Toc31022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33</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_Toc28600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color w:val="auto"/>
          <w:sz w:val="21"/>
          <w:szCs w:val="21"/>
          <w:lang w:val="en-US" w:eastAsia="zh-CN"/>
        </w:rPr>
        <w:t>7.3.1应急监测原则</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_Toc28600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33</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_Toc25195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7.</w:t>
      </w:r>
      <w:r>
        <w:rPr>
          <w:rFonts w:hint="default" w:ascii="Times New Roman" w:hAnsi="Times New Roman" w:cs="Times New Roman"/>
          <w:bCs/>
          <w:color w:val="auto"/>
          <w:sz w:val="21"/>
          <w:szCs w:val="21"/>
          <w:lang w:val="en-US" w:eastAsia="zh-CN"/>
        </w:rPr>
        <w:t>3</w:t>
      </w:r>
      <w:r>
        <w:rPr>
          <w:rFonts w:hint="default" w:ascii="Times New Roman" w:hAnsi="Times New Roman" w:eastAsia="仿宋" w:cs="Times New Roman"/>
          <w:bCs/>
          <w:color w:val="auto"/>
          <w:sz w:val="21"/>
          <w:szCs w:val="21"/>
        </w:rPr>
        <w:t>.</w:t>
      </w:r>
      <w:r>
        <w:rPr>
          <w:rFonts w:hint="default" w:ascii="Times New Roman" w:hAnsi="Times New Roman" w:eastAsia="仿宋" w:cs="Times New Roman"/>
          <w:bCs/>
          <w:color w:val="auto"/>
          <w:sz w:val="21"/>
          <w:szCs w:val="21"/>
          <w:lang w:val="en-US" w:eastAsia="zh-CN"/>
        </w:rPr>
        <w:t>2</w:t>
      </w:r>
      <w:r>
        <w:rPr>
          <w:rFonts w:hint="default" w:ascii="Times New Roman" w:hAnsi="Times New Roman" w:eastAsia="仿宋" w:cs="Times New Roman"/>
          <w:bCs/>
          <w:color w:val="auto"/>
          <w:sz w:val="21"/>
          <w:szCs w:val="21"/>
        </w:rPr>
        <w:t>应急监测方案</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_Toc25195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33</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_Toc8269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7.3.3</w:t>
      </w:r>
      <w:r>
        <w:rPr>
          <w:rFonts w:hint="default" w:ascii="Times New Roman" w:hAnsi="Times New Roman" w:eastAsia="仿宋" w:cs="Times New Roman"/>
          <w:bCs/>
          <w:color w:val="auto"/>
          <w:sz w:val="21"/>
          <w:szCs w:val="21"/>
        </w:rPr>
        <w:t>监测人员的防护措施</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_Toc8269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35</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_Toc6629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7.3.</w:t>
      </w:r>
      <w:r>
        <w:rPr>
          <w:rFonts w:hint="default" w:ascii="Times New Roman" w:hAnsi="Times New Roman" w:eastAsia="仿宋" w:cs="Times New Roman"/>
          <w:bCs/>
          <w:color w:val="auto"/>
          <w:sz w:val="21"/>
          <w:szCs w:val="21"/>
          <w:lang w:val="en-US" w:eastAsia="zh-CN"/>
        </w:rPr>
        <w:t>4</w:t>
      </w:r>
      <w:r>
        <w:rPr>
          <w:rFonts w:hint="default" w:ascii="Times New Roman" w:hAnsi="Times New Roman" w:eastAsia="仿宋" w:cs="Times New Roman"/>
          <w:bCs/>
          <w:color w:val="auto"/>
          <w:sz w:val="21"/>
          <w:szCs w:val="21"/>
        </w:rPr>
        <w:t>应急监测说明</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_Toc6629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35</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_Toc29652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cs="Times New Roman"/>
          <w:bCs/>
          <w:color w:val="auto"/>
          <w:sz w:val="21"/>
          <w:szCs w:val="21"/>
          <w:lang w:val="en-US" w:eastAsia="zh-CN"/>
        </w:rPr>
        <w:t>7</w:t>
      </w:r>
      <w:r>
        <w:rPr>
          <w:rFonts w:hint="default" w:ascii="Times New Roman" w:hAnsi="Times New Roman" w:eastAsia="仿宋" w:cs="Times New Roman"/>
          <w:bCs/>
          <w:color w:val="auto"/>
          <w:sz w:val="21"/>
          <w:szCs w:val="21"/>
        </w:rPr>
        <w:t>.</w:t>
      </w:r>
      <w:r>
        <w:rPr>
          <w:rFonts w:hint="default" w:ascii="Times New Roman" w:hAnsi="Times New Roman" w:cs="Times New Roman"/>
          <w:bCs/>
          <w:color w:val="auto"/>
          <w:sz w:val="21"/>
          <w:szCs w:val="21"/>
          <w:lang w:val="en-US" w:eastAsia="zh-CN"/>
        </w:rPr>
        <w:t>4</w:t>
      </w:r>
      <w:r>
        <w:rPr>
          <w:rFonts w:hint="default" w:ascii="Times New Roman" w:hAnsi="Times New Roman" w:eastAsia="仿宋" w:cs="Times New Roman"/>
          <w:bCs/>
          <w:color w:val="auto"/>
          <w:sz w:val="21"/>
          <w:szCs w:val="21"/>
        </w:rPr>
        <w:t xml:space="preserve"> 应急终止</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_Toc29652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36</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_Toc12433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cs="Times New Roman"/>
          <w:bCs/>
          <w:color w:val="auto"/>
          <w:sz w:val="21"/>
          <w:szCs w:val="21"/>
          <w:lang w:val="en-US" w:eastAsia="zh-CN"/>
        </w:rPr>
        <w:t>7</w:t>
      </w:r>
      <w:r>
        <w:rPr>
          <w:rFonts w:hint="default" w:ascii="Times New Roman" w:hAnsi="Times New Roman" w:eastAsia="仿宋" w:cs="Times New Roman"/>
          <w:bCs/>
          <w:color w:val="auto"/>
          <w:sz w:val="21"/>
          <w:szCs w:val="21"/>
          <w:lang w:val="en-US" w:eastAsia="zh-CN"/>
        </w:rPr>
        <w:t>.4.1 应急终止的条件</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_Toc12433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36</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_Toc32431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cs="Times New Roman"/>
          <w:bCs/>
          <w:color w:val="auto"/>
          <w:sz w:val="21"/>
          <w:szCs w:val="21"/>
          <w:lang w:val="en-US" w:eastAsia="zh-CN"/>
        </w:rPr>
        <w:t>7</w:t>
      </w:r>
      <w:r>
        <w:rPr>
          <w:rFonts w:hint="default" w:ascii="Times New Roman" w:hAnsi="Times New Roman" w:eastAsia="仿宋" w:cs="Times New Roman"/>
          <w:bCs/>
          <w:color w:val="auto"/>
          <w:sz w:val="21"/>
          <w:szCs w:val="21"/>
          <w:lang w:val="en-US" w:eastAsia="zh-CN"/>
        </w:rPr>
        <w:t>.4.2 应急终止程序</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_Toc32431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36</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_Toc7039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7.4.3 应急终止后的行动</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_Toc7039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36</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6"/>
        <w:tabs>
          <w:tab w:val="right" w:leader="dot" w:pos="8640"/>
        </w:tabs>
        <w:rPr>
          <w:rFonts w:hint="default" w:ascii="Times New Roman" w:hAnsi="Times New Roman" w:cs="Times New Roman"/>
          <w:b/>
          <w:bCs/>
          <w:color w:val="auto"/>
          <w:sz w:val="21"/>
          <w:szCs w:val="21"/>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_Toc13058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eastAsia="仿宋" w:cs="Times New Roman"/>
          <w:b/>
          <w:bCs/>
          <w:color w:val="auto"/>
          <w:kern w:val="0"/>
          <w:sz w:val="21"/>
          <w:szCs w:val="21"/>
          <w:lang w:val="en-US" w:eastAsia="zh-CN" w:bidi="ar-SA"/>
        </w:rPr>
        <w:t>8 后期处置</w:t>
      </w:r>
      <w:r>
        <w:rPr>
          <w:rFonts w:hint="default" w:ascii="Times New Roman" w:hAnsi="Times New Roman" w:cs="Times New Roman"/>
          <w:b/>
          <w:bCs/>
          <w:color w:val="auto"/>
          <w:sz w:val="21"/>
          <w:szCs w:val="21"/>
        </w:rPr>
        <w:tab/>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PAGEREF _Toc13058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36</w:t>
      </w:r>
      <w:r>
        <w:rPr>
          <w:rFonts w:hint="default" w:ascii="Times New Roman" w:hAnsi="Times New Roman"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_Toc22612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8.</w:t>
      </w:r>
      <w:r>
        <w:rPr>
          <w:rFonts w:hint="default" w:ascii="Times New Roman" w:hAnsi="Times New Roman" w:eastAsia="仿宋" w:cs="Times New Roman"/>
          <w:bCs/>
          <w:color w:val="auto"/>
          <w:sz w:val="21"/>
          <w:szCs w:val="21"/>
        </w:rPr>
        <w:t>1 善后处置</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_Toc22612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36</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_Toc17340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8</w:t>
      </w:r>
      <w:r>
        <w:rPr>
          <w:rFonts w:hint="default" w:ascii="Times New Roman" w:hAnsi="Times New Roman" w:eastAsia="仿宋" w:cs="Times New Roman"/>
          <w:bCs/>
          <w:color w:val="auto"/>
          <w:sz w:val="21"/>
          <w:szCs w:val="21"/>
        </w:rPr>
        <w:t>.2 保险</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_Toc17340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37</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6"/>
        <w:tabs>
          <w:tab w:val="right" w:leader="dot" w:pos="8640"/>
        </w:tabs>
        <w:rPr>
          <w:rFonts w:hint="default" w:ascii="Times New Roman" w:hAnsi="Times New Roman" w:cs="Times New Roman"/>
          <w:b/>
          <w:bCs/>
          <w:color w:val="auto"/>
          <w:sz w:val="21"/>
          <w:szCs w:val="21"/>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_Toc21143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eastAsia="仿宋" w:cs="Times New Roman"/>
          <w:b/>
          <w:bCs/>
          <w:color w:val="auto"/>
          <w:sz w:val="21"/>
          <w:szCs w:val="21"/>
          <w:lang w:val="en-US" w:eastAsia="zh-CN"/>
        </w:rPr>
        <w:t>9</w:t>
      </w:r>
      <w:r>
        <w:rPr>
          <w:rFonts w:hint="default" w:ascii="Times New Roman" w:hAnsi="Times New Roman" w:eastAsia="仿宋" w:cs="Times New Roman"/>
          <w:b/>
          <w:bCs/>
          <w:color w:val="auto"/>
          <w:sz w:val="21"/>
          <w:szCs w:val="21"/>
        </w:rPr>
        <w:t xml:space="preserve"> 应急培训与演练</w:t>
      </w:r>
      <w:r>
        <w:rPr>
          <w:rFonts w:hint="default" w:ascii="Times New Roman" w:hAnsi="Times New Roman" w:cs="Times New Roman"/>
          <w:b/>
          <w:bCs/>
          <w:color w:val="auto"/>
          <w:sz w:val="21"/>
          <w:szCs w:val="21"/>
        </w:rPr>
        <w:tab/>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PAGEREF _Toc21143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37</w:t>
      </w:r>
      <w:r>
        <w:rPr>
          <w:rFonts w:hint="default" w:ascii="Times New Roman" w:hAnsi="Times New Roman"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_Toc18750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9.1培训</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_Toc18750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37</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_Toc30802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lang w:val="en-US" w:eastAsia="zh-CN" w:bidi="ar-SA"/>
        </w:rPr>
        <w:t>9.1.1 应急救援小组成员应急响应的培训</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_Toc30802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37</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_Toc31722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lang w:val="en-US" w:eastAsia="zh-CN" w:bidi="ar-SA"/>
        </w:rPr>
        <w:t>9.1.2 企业人员应急知识培训</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_Toc31722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37</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_Toc8410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kern w:val="0"/>
          <w:sz w:val="21"/>
          <w:szCs w:val="21"/>
          <w:lang w:val="en-US" w:eastAsia="zh-CN" w:bidi="ar-SA"/>
        </w:rPr>
        <w:t>9.1.3 周边企业应急宣传和告知</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_Toc8410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38</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_Toc15444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9.1.4 培训记录</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_Toc15444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38</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_Toc16059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9.2</w:t>
      </w:r>
      <w:r>
        <w:rPr>
          <w:rFonts w:hint="default" w:ascii="Times New Roman" w:hAnsi="Times New Roman" w:eastAsia="仿宋" w:cs="Times New Roman"/>
          <w:bCs/>
          <w:color w:val="auto"/>
          <w:sz w:val="21"/>
          <w:szCs w:val="21"/>
        </w:rPr>
        <w:t>演练</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_Toc16059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38</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_Toc7672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9.2.1 演练准备</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_Toc7672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38</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_Toc24088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9.2.2 演练方式、范围与频次</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_Toc24088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39</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_Toc4255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9.2.3 演练组织</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_Toc4255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39</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1"/>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_Toc15108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9.2.4 演练评估与总结</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_Toc15108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39</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6"/>
        <w:tabs>
          <w:tab w:val="right" w:leader="dot" w:pos="8640"/>
        </w:tabs>
        <w:rPr>
          <w:rFonts w:hint="default" w:ascii="Times New Roman" w:hAnsi="Times New Roman" w:cs="Times New Roman"/>
          <w:b/>
          <w:bCs/>
          <w:color w:val="auto"/>
          <w:sz w:val="21"/>
          <w:szCs w:val="21"/>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_Toc26068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eastAsia="仿宋" w:cs="Times New Roman"/>
          <w:b/>
          <w:bCs/>
          <w:color w:val="auto"/>
          <w:sz w:val="21"/>
          <w:szCs w:val="21"/>
          <w:lang w:val="en-US" w:eastAsia="zh-CN"/>
        </w:rPr>
        <w:t>10奖惩</w:t>
      </w:r>
      <w:r>
        <w:rPr>
          <w:rFonts w:hint="default" w:ascii="Times New Roman" w:hAnsi="Times New Roman" w:cs="Times New Roman"/>
          <w:b/>
          <w:bCs/>
          <w:color w:val="auto"/>
          <w:sz w:val="21"/>
          <w:szCs w:val="21"/>
        </w:rPr>
        <w:tab/>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PAGEREF _Toc26068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39</w:t>
      </w:r>
      <w:r>
        <w:rPr>
          <w:rFonts w:hint="default" w:ascii="Times New Roman" w:hAnsi="Times New Roman"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_Toc22426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10.1奖励</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_Toc22426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39</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_Toc6935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10.2惩罚</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_Toc6935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40</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6"/>
        <w:tabs>
          <w:tab w:val="right" w:leader="dot" w:pos="8640"/>
        </w:tabs>
        <w:rPr>
          <w:rFonts w:hint="default" w:ascii="Times New Roman" w:hAnsi="Times New Roman" w:cs="Times New Roman"/>
          <w:b/>
          <w:bCs/>
          <w:color w:val="auto"/>
          <w:sz w:val="21"/>
          <w:szCs w:val="21"/>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_Toc30688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cs="Times New Roman"/>
          <w:b/>
          <w:bCs/>
          <w:color w:val="auto"/>
          <w:spacing w:val="1"/>
          <w:w w:val="100"/>
          <w:sz w:val="21"/>
          <w:szCs w:val="21"/>
          <w:lang w:val="en-US" w:eastAsia="zh-CN"/>
        </w:rPr>
        <w:t>11</w:t>
      </w:r>
      <w:r>
        <w:rPr>
          <w:rFonts w:hint="default" w:ascii="Times New Roman" w:hAnsi="Times New Roman" w:cs="Times New Roman"/>
          <w:b/>
          <w:bCs/>
          <w:color w:val="auto"/>
          <w:spacing w:val="-1"/>
          <w:w w:val="100"/>
          <w:sz w:val="21"/>
          <w:szCs w:val="21"/>
        </w:rPr>
        <w:t>保障措</w:t>
      </w:r>
      <w:r>
        <w:rPr>
          <w:rFonts w:hint="default" w:ascii="Times New Roman" w:hAnsi="Times New Roman" w:cs="Times New Roman"/>
          <w:b/>
          <w:bCs/>
          <w:color w:val="auto"/>
          <w:spacing w:val="0"/>
          <w:w w:val="100"/>
          <w:sz w:val="21"/>
          <w:szCs w:val="21"/>
        </w:rPr>
        <w:t>施</w:t>
      </w:r>
      <w:r>
        <w:rPr>
          <w:rFonts w:hint="default" w:ascii="Times New Roman" w:hAnsi="Times New Roman" w:cs="Times New Roman"/>
          <w:b/>
          <w:bCs/>
          <w:color w:val="auto"/>
          <w:sz w:val="21"/>
          <w:szCs w:val="21"/>
        </w:rPr>
        <w:tab/>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PAGEREF _Toc30688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40</w:t>
      </w:r>
      <w:r>
        <w:rPr>
          <w:rFonts w:hint="default" w:ascii="Times New Roman" w:hAnsi="Times New Roman"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_Toc22203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lang w:val="en-US" w:eastAsia="zh-CN"/>
        </w:rPr>
        <w:t>1</w:t>
      </w:r>
      <w:r>
        <w:rPr>
          <w:rFonts w:hint="default" w:ascii="Times New Roman" w:hAnsi="Times New Roman" w:cs="Times New Roman"/>
          <w:bCs/>
          <w:color w:val="auto"/>
          <w:sz w:val="21"/>
          <w:szCs w:val="21"/>
          <w:lang w:val="en-US" w:eastAsia="zh-CN"/>
        </w:rPr>
        <w:t>1</w:t>
      </w:r>
      <w:r>
        <w:rPr>
          <w:rFonts w:hint="default" w:ascii="Times New Roman" w:hAnsi="Times New Roman" w:eastAsia="仿宋" w:cs="Times New Roman"/>
          <w:bCs/>
          <w:color w:val="auto"/>
          <w:sz w:val="21"/>
          <w:szCs w:val="21"/>
          <w:lang w:val="en-US" w:eastAsia="zh-CN"/>
        </w:rPr>
        <w:t>.1 经费保障</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_Toc22203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40</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_Toc22967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cs="Times New Roman"/>
          <w:bCs/>
          <w:color w:val="auto"/>
          <w:sz w:val="21"/>
          <w:szCs w:val="21"/>
          <w:lang w:val="en-US" w:eastAsia="zh-CN"/>
        </w:rPr>
        <w:t>11</w:t>
      </w:r>
      <w:r>
        <w:rPr>
          <w:rFonts w:hint="default" w:ascii="Times New Roman" w:hAnsi="Times New Roman" w:eastAsia="仿宋" w:cs="Times New Roman"/>
          <w:bCs/>
          <w:color w:val="auto"/>
          <w:sz w:val="21"/>
          <w:szCs w:val="21"/>
        </w:rPr>
        <w:t>.2 应急物资装备保障</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_Toc22967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41</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_Toc13451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1</w:t>
      </w:r>
      <w:r>
        <w:rPr>
          <w:rFonts w:hint="default" w:ascii="Times New Roman" w:hAnsi="Times New Roman" w:cs="Times New Roman"/>
          <w:bCs/>
          <w:color w:val="auto"/>
          <w:sz w:val="21"/>
          <w:szCs w:val="21"/>
          <w:lang w:val="en-US" w:eastAsia="zh-CN"/>
        </w:rPr>
        <w:t>1</w:t>
      </w:r>
      <w:r>
        <w:rPr>
          <w:rFonts w:hint="default" w:ascii="Times New Roman" w:hAnsi="Times New Roman" w:eastAsia="仿宋" w:cs="Times New Roman"/>
          <w:bCs/>
          <w:color w:val="auto"/>
          <w:sz w:val="21"/>
          <w:szCs w:val="21"/>
        </w:rPr>
        <w:t>.3 应急队伍保障</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_Toc13451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41</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_Toc29036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1</w:t>
      </w:r>
      <w:r>
        <w:rPr>
          <w:rFonts w:hint="default" w:ascii="Times New Roman" w:hAnsi="Times New Roman" w:cs="Times New Roman"/>
          <w:bCs/>
          <w:color w:val="auto"/>
          <w:sz w:val="21"/>
          <w:szCs w:val="21"/>
          <w:lang w:val="en-US" w:eastAsia="zh-CN"/>
        </w:rPr>
        <w:t>1</w:t>
      </w:r>
      <w:r>
        <w:rPr>
          <w:rFonts w:hint="default" w:ascii="Times New Roman" w:hAnsi="Times New Roman" w:eastAsia="仿宋" w:cs="Times New Roman"/>
          <w:bCs/>
          <w:color w:val="auto"/>
          <w:sz w:val="21"/>
          <w:szCs w:val="21"/>
        </w:rPr>
        <w:t>.4 通信与信息保障</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_Toc29036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41</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_Toc10402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1</w:t>
      </w:r>
      <w:r>
        <w:rPr>
          <w:rFonts w:hint="default" w:ascii="Times New Roman" w:hAnsi="Times New Roman" w:cs="Times New Roman"/>
          <w:bCs/>
          <w:color w:val="auto"/>
          <w:sz w:val="21"/>
          <w:szCs w:val="21"/>
          <w:lang w:val="en-US" w:eastAsia="zh-CN"/>
        </w:rPr>
        <w:t>1</w:t>
      </w:r>
      <w:r>
        <w:rPr>
          <w:rFonts w:hint="default" w:ascii="Times New Roman" w:hAnsi="Times New Roman" w:eastAsia="仿宋" w:cs="Times New Roman"/>
          <w:bCs/>
          <w:color w:val="auto"/>
          <w:sz w:val="21"/>
          <w:szCs w:val="21"/>
        </w:rPr>
        <w:t>.5 医疗保障</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_Toc10402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41</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_Toc30626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1</w:t>
      </w:r>
      <w:r>
        <w:rPr>
          <w:rFonts w:hint="default" w:ascii="Times New Roman" w:hAnsi="Times New Roman" w:cs="Times New Roman"/>
          <w:bCs/>
          <w:color w:val="auto"/>
          <w:sz w:val="21"/>
          <w:szCs w:val="21"/>
          <w:lang w:val="en-US" w:eastAsia="zh-CN"/>
        </w:rPr>
        <w:t>1</w:t>
      </w:r>
      <w:r>
        <w:rPr>
          <w:rFonts w:hint="default" w:ascii="Times New Roman" w:hAnsi="Times New Roman" w:eastAsia="仿宋" w:cs="Times New Roman"/>
          <w:bCs/>
          <w:color w:val="auto"/>
          <w:sz w:val="21"/>
          <w:szCs w:val="21"/>
        </w:rPr>
        <w:t>.6 交通运输保障</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_Toc30626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41</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_Toc12842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1</w:t>
      </w:r>
      <w:r>
        <w:rPr>
          <w:rFonts w:hint="default" w:ascii="Times New Roman" w:hAnsi="Times New Roman" w:cs="Times New Roman"/>
          <w:bCs/>
          <w:color w:val="auto"/>
          <w:sz w:val="21"/>
          <w:szCs w:val="21"/>
          <w:lang w:val="en-US" w:eastAsia="zh-CN"/>
        </w:rPr>
        <w:t>1</w:t>
      </w:r>
      <w:r>
        <w:rPr>
          <w:rFonts w:hint="default" w:ascii="Times New Roman" w:hAnsi="Times New Roman" w:eastAsia="仿宋" w:cs="Times New Roman"/>
          <w:bCs/>
          <w:color w:val="auto"/>
          <w:sz w:val="21"/>
          <w:szCs w:val="21"/>
        </w:rPr>
        <w:t>.7治安保障</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_Toc12842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41</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_Toc15273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1</w:t>
      </w:r>
      <w:r>
        <w:rPr>
          <w:rFonts w:hint="default" w:ascii="Times New Roman" w:hAnsi="Times New Roman" w:cs="Times New Roman"/>
          <w:bCs/>
          <w:color w:val="auto"/>
          <w:sz w:val="21"/>
          <w:szCs w:val="21"/>
          <w:lang w:val="en-US" w:eastAsia="zh-CN"/>
        </w:rPr>
        <w:t>1</w:t>
      </w:r>
      <w:r>
        <w:rPr>
          <w:rFonts w:hint="default" w:ascii="Times New Roman" w:hAnsi="Times New Roman" w:eastAsia="仿宋" w:cs="Times New Roman"/>
          <w:bCs/>
          <w:color w:val="auto"/>
          <w:sz w:val="21"/>
          <w:szCs w:val="21"/>
        </w:rPr>
        <w:t>.8技术保障</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_Toc15273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42</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ind w:left="0" w:leftChars="0" w:firstLine="0" w:firstLineChars="0"/>
        <w:rPr>
          <w:rFonts w:hint="default" w:ascii="Times New Roman" w:hAnsi="Times New Roman" w:cs="Times New Roman"/>
          <w:b/>
          <w:bCs/>
          <w:color w:val="auto"/>
          <w:sz w:val="21"/>
          <w:szCs w:val="21"/>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_Toc9429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cs="Times New Roman"/>
          <w:b/>
          <w:bCs/>
          <w:color w:val="auto"/>
          <w:sz w:val="21"/>
          <w:szCs w:val="21"/>
          <w:lang w:val="en-US" w:eastAsia="zh-CN"/>
        </w:rPr>
        <w:t>12</w:t>
      </w:r>
      <w:r>
        <w:rPr>
          <w:rFonts w:hint="default" w:ascii="Times New Roman" w:hAnsi="Times New Roman" w:eastAsia="仿宋" w:cs="Times New Roman"/>
          <w:b/>
          <w:bCs/>
          <w:color w:val="auto"/>
          <w:sz w:val="21"/>
          <w:szCs w:val="21"/>
        </w:rPr>
        <w:t>预案的评审、备案、发布和更新</w:t>
      </w:r>
      <w:r>
        <w:rPr>
          <w:rFonts w:hint="default" w:ascii="Times New Roman" w:hAnsi="Times New Roman" w:cs="Times New Roman"/>
          <w:b/>
          <w:bCs/>
          <w:color w:val="auto"/>
          <w:sz w:val="21"/>
          <w:szCs w:val="21"/>
        </w:rPr>
        <w:tab/>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PAGEREF _Toc9429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42</w:t>
      </w:r>
      <w:r>
        <w:rPr>
          <w:rFonts w:hint="default" w:ascii="Times New Roman" w:hAnsi="Times New Roman"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_Toc1414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1</w:t>
      </w:r>
      <w:r>
        <w:rPr>
          <w:rFonts w:hint="default" w:ascii="Times New Roman" w:hAnsi="Times New Roman" w:cs="Times New Roman"/>
          <w:bCs/>
          <w:color w:val="auto"/>
          <w:sz w:val="21"/>
          <w:szCs w:val="21"/>
          <w:lang w:val="en-US" w:eastAsia="zh-CN"/>
        </w:rPr>
        <w:t>2</w:t>
      </w:r>
      <w:r>
        <w:rPr>
          <w:rFonts w:hint="default" w:ascii="Times New Roman" w:hAnsi="Times New Roman" w:eastAsia="仿宋" w:cs="Times New Roman"/>
          <w:bCs/>
          <w:color w:val="auto"/>
          <w:sz w:val="21"/>
          <w:szCs w:val="21"/>
        </w:rPr>
        <w:t>.1 预案的内部评审</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_Toc1414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42</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_Toc18248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1</w:t>
      </w:r>
      <w:r>
        <w:rPr>
          <w:rFonts w:hint="default" w:ascii="Times New Roman" w:hAnsi="Times New Roman" w:cs="Times New Roman"/>
          <w:bCs/>
          <w:color w:val="auto"/>
          <w:sz w:val="21"/>
          <w:szCs w:val="21"/>
          <w:lang w:val="en-US" w:eastAsia="zh-CN"/>
        </w:rPr>
        <w:t>2</w:t>
      </w:r>
      <w:r>
        <w:rPr>
          <w:rFonts w:hint="default" w:ascii="Times New Roman" w:hAnsi="Times New Roman" w:eastAsia="仿宋" w:cs="Times New Roman"/>
          <w:bCs/>
          <w:color w:val="auto"/>
          <w:sz w:val="21"/>
          <w:szCs w:val="21"/>
        </w:rPr>
        <w:t>.2 预案的外部评审</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_Toc18248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42</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_Toc27952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1</w:t>
      </w:r>
      <w:r>
        <w:rPr>
          <w:rFonts w:hint="default" w:ascii="Times New Roman" w:hAnsi="Times New Roman" w:cs="Times New Roman"/>
          <w:bCs/>
          <w:color w:val="auto"/>
          <w:sz w:val="21"/>
          <w:szCs w:val="21"/>
          <w:lang w:val="en-US" w:eastAsia="zh-CN"/>
        </w:rPr>
        <w:t>2</w:t>
      </w:r>
      <w:r>
        <w:rPr>
          <w:rFonts w:hint="default" w:ascii="Times New Roman" w:hAnsi="Times New Roman" w:eastAsia="仿宋" w:cs="Times New Roman"/>
          <w:bCs/>
          <w:color w:val="auto"/>
          <w:sz w:val="21"/>
          <w:szCs w:val="21"/>
        </w:rPr>
        <w:t>.3 备案</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_Toc27952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42</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_Toc13790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1</w:t>
      </w:r>
      <w:r>
        <w:rPr>
          <w:rFonts w:hint="default" w:ascii="Times New Roman" w:hAnsi="Times New Roman" w:cs="Times New Roman"/>
          <w:bCs/>
          <w:color w:val="auto"/>
          <w:sz w:val="21"/>
          <w:szCs w:val="21"/>
          <w:lang w:val="en-US" w:eastAsia="zh-CN"/>
        </w:rPr>
        <w:t>2</w:t>
      </w:r>
      <w:r>
        <w:rPr>
          <w:rFonts w:hint="default" w:ascii="Times New Roman" w:hAnsi="Times New Roman" w:eastAsia="仿宋" w:cs="Times New Roman"/>
          <w:bCs/>
          <w:color w:val="auto"/>
          <w:sz w:val="21"/>
          <w:szCs w:val="21"/>
        </w:rPr>
        <w:t>.4 发布和更新</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_Toc13790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42</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rPr>
          <w:rFonts w:hint="default" w:ascii="Times New Roman" w:hAnsi="Times New Roman" w:cs="Times New Roman"/>
          <w:color w:val="auto"/>
          <w:sz w:val="21"/>
          <w:szCs w:val="21"/>
        </w:rPr>
      </w:pPr>
      <w:r>
        <w:rPr>
          <w:rFonts w:hint="default" w:ascii="Times New Roman" w:hAnsi="Times New Roman" w:eastAsia="仿宋" w:cs="Times New Roman"/>
          <w:color w:val="auto"/>
          <w:kern w:val="0"/>
          <w:sz w:val="21"/>
          <w:szCs w:val="21"/>
        </w:rPr>
        <w:fldChar w:fldCharType="begin"/>
      </w:r>
      <w:r>
        <w:rPr>
          <w:rFonts w:hint="default" w:ascii="Times New Roman" w:hAnsi="Times New Roman" w:eastAsia="仿宋" w:cs="Times New Roman"/>
          <w:color w:val="auto"/>
          <w:kern w:val="0"/>
          <w:sz w:val="21"/>
          <w:szCs w:val="21"/>
        </w:rPr>
        <w:instrText xml:space="preserve"> HYPERLINK \l _Toc30933 </w:instrText>
      </w:r>
      <w:r>
        <w:rPr>
          <w:rFonts w:hint="default" w:ascii="Times New Roman" w:hAnsi="Times New Roman" w:eastAsia="仿宋" w:cs="Times New Roman"/>
          <w:color w:val="auto"/>
          <w:kern w:val="0"/>
          <w:sz w:val="21"/>
          <w:szCs w:val="21"/>
        </w:rPr>
        <w:fldChar w:fldCharType="separate"/>
      </w:r>
      <w:r>
        <w:rPr>
          <w:rFonts w:hint="default" w:ascii="Times New Roman" w:hAnsi="Times New Roman" w:eastAsia="仿宋" w:cs="Times New Roman"/>
          <w:bCs/>
          <w:color w:val="auto"/>
          <w:sz w:val="21"/>
          <w:szCs w:val="21"/>
        </w:rPr>
        <w:t>1</w:t>
      </w:r>
      <w:r>
        <w:rPr>
          <w:rFonts w:hint="default" w:ascii="Times New Roman" w:hAnsi="Times New Roman" w:cs="Times New Roman"/>
          <w:bCs/>
          <w:color w:val="auto"/>
          <w:sz w:val="21"/>
          <w:szCs w:val="21"/>
          <w:lang w:val="en-US" w:eastAsia="zh-CN"/>
        </w:rPr>
        <w:t>2</w:t>
      </w:r>
      <w:r>
        <w:rPr>
          <w:rFonts w:hint="default" w:ascii="Times New Roman" w:hAnsi="Times New Roman" w:eastAsia="仿宋" w:cs="Times New Roman"/>
          <w:bCs/>
          <w:color w:val="auto"/>
          <w:sz w:val="21"/>
          <w:szCs w:val="21"/>
        </w:rPr>
        <w:t>.5 预案的实施和生效时间</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PAGEREF _Toc30933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43</w:t>
      </w:r>
      <w:r>
        <w:rPr>
          <w:rFonts w:hint="default" w:ascii="Times New Roman" w:hAnsi="Times New Roman" w:cs="Times New Roman"/>
          <w:color w:val="auto"/>
          <w:sz w:val="21"/>
          <w:szCs w:val="21"/>
        </w:rPr>
        <w:fldChar w:fldCharType="end"/>
      </w:r>
      <w:r>
        <w:rPr>
          <w:rFonts w:hint="default" w:ascii="Times New Roman" w:hAnsi="Times New Roman" w:eastAsia="仿宋" w:cs="Times New Roman"/>
          <w:color w:val="auto"/>
          <w:kern w:val="0"/>
          <w:sz w:val="21"/>
          <w:szCs w:val="21"/>
        </w:rPr>
        <w:fldChar w:fldCharType="end"/>
      </w:r>
    </w:p>
    <w:p>
      <w:pPr>
        <w:pStyle w:val="18"/>
        <w:tabs>
          <w:tab w:val="right" w:leader="dot" w:pos="8640"/>
        </w:tabs>
        <w:ind w:left="0" w:leftChars="0" w:firstLine="0" w:firstLineChars="0"/>
        <w:rPr>
          <w:rFonts w:hint="default" w:ascii="Times New Roman" w:hAnsi="Times New Roman" w:cs="Times New Roman"/>
          <w:b/>
          <w:bCs/>
          <w:color w:val="auto"/>
        </w:rPr>
      </w:pPr>
      <w:r>
        <w:rPr>
          <w:rFonts w:hint="default" w:ascii="Times New Roman" w:hAnsi="Times New Roman" w:eastAsia="仿宋" w:cs="Times New Roman"/>
          <w:b/>
          <w:bCs/>
          <w:color w:val="auto"/>
          <w:kern w:val="0"/>
          <w:sz w:val="21"/>
          <w:szCs w:val="21"/>
        </w:rPr>
        <w:fldChar w:fldCharType="begin"/>
      </w:r>
      <w:r>
        <w:rPr>
          <w:rFonts w:hint="default" w:ascii="Times New Roman" w:hAnsi="Times New Roman" w:eastAsia="仿宋" w:cs="Times New Roman"/>
          <w:b/>
          <w:bCs/>
          <w:color w:val="auto"/>
          <w:kern w:val="0"/>
          <w:sz w:val="21"/>
          <w:szCs w:val="21"/>
        </w:rPr>
        <w:instrText xml:space="preserve"> HYPERLINK \l _Toc13407 </w:instrText>
      </w:r>
      <w:r>
        <w:rPr>
          <w:rFonts w:hint="default" w:ascii="Times New Roman" w:hAnsi="Times New Roman" w:eastAsia="仿宋" w:cs="Times New Roman"/>
          <w:b/>
          <w:bCs/>
          <w:color w:val="auto"/>
          <w:kern w:val="0"/>
          <w:sz w:val="21"/>
          <w:szCs w:val="21"/>
        </w:rPr>
        <w:fldChar w:fldCharType="separate"/>
      </w:r>
      <w:r>
        <w:rPr>
          <w:rFonts w:hint="default" w:ascii="Times New Roman" w:hAnsi="Times New Roman" w:eastAsia="仿宋" w:cs="Times New Roman"/>
          <w:b/>
          <w:bCs/>
          <w:color w:val="auto"/>
          <w:sz w:val="21"/>
          <w:szCs w:val="21"/>
        </w:rPr>
        <w:t>1</w:t>
      </w:r>
      <w:r>
        <w:rPr>
          <w:rFonts w:hint="default" w:ascii="Times New Roman" w:hAnsi="Times New Roman" w:cs="Times New Roman"/>
          <w:b/>
          <w:bCs/>
          <w:color w:val="auto"/>
          <w:sz w:val="21"/>
          <w:szCs w:val="21"/>
          <w:lang w:val="en-US" w:eastAsia="zh-CN"/>
        </w:rPr>
        <w:t>3</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rPr>
        <w:t>附则</w:t>
      </w:r>
      <w:r>
        <w:rPr>
          <w:rFonts w:hint="default" w:ascii="Times New Roman" w:hAnsi="Times New Roman" w:cs="Times New Roman"/>
          <w:b/>
          <w:bCs/>
          <w:color w:val="auto"/>
          <w:sz w:val="21"/>
          <w:szCs w:val="21"/>
        </w:rPr>
        <w:tab/>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PAGEREF _Toc13407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43</w:t>
      </w:r>
      <w:r>
        <w:rPr>
          <w:rFonts w:hint="default" w:ascii="Times New Roman" w:hAnsi="Times New Roman" w:cs="Times New Roman"/>
          <w:b/>
          <w:bCs/>
          <w:color w:val="auto"/>
          <w:sz w:val="21"/>
          <w:szCs w:val="21"/>
        </w:rPr>
        <w:fldChar w:fldCharType="end"/>
      </w:r>
      <w:r>
        <w:rPr>
          <w:rFonts w:hint="default" w:ascii="Times New Roman" w:hAnsi="Times New Roman" w:eastAsia="仿宋" w:cs="Times New Roman"/>
          <w:b/>
          <w:bCs/>
          <w:color w:val="auto"/>
          <w:kern w:val="0"/>
          <w:sz w:val="21"/>
          <w:szCs w:val="21"/>
        </w:rPr>
        <w:fldChar w:fldCharType="end"/>
      </w:r>
    </w:p>
    <w:p>
      <w:pPr>
        <w:spacing w:before="100" w:beforeAutospacing="1" w:line="252" w:lineRule="auto"/>
        <w:jc w:val="left"/>
        <w:rPr>
          <w:rFonts w:hint="eastAsia" w:ascii="仿宋" w:hAnsi="仿宋" w:eastAsia="仿宋" w:cs="Times New Roman"/>
          <w:color w:val="auto"/>
          <w:kern w:val="0"/>
          <w:sz w:val="21"/>
          <w:szCs w:val="28"/>
          <w:lang w:val="en-US" w:eastAsia="zh-CN" w:bidi="ar-SA"/>
        </w:rPr>
      </w:pPr>
      <w:r>
        <w:rPr>
          <w:rFonts w:hint="default" w:ascii="Times New Roman" w:hAnsi="Times New Roman" w:eastAsia="仿宋" w:cs="Times New Roman"/>
          <w:color w:val="auto"/>
          <w:kern w:val="0"/>
          <w:szCs w:val="24"/>
        </w:rPr>
        <w:fldChar w:fldCharType="end"/>
      </w:r>
    </w:p>
    <w:p>
      <w:pPr>
        <w:rPr>
          <w:rFonts w:hint="eastAsia" w:ascii="Calibri" w:hAnsi="Calibri" w:eastAsia="宋体" w:cs="黑体"/>
          <w:color w:val="auto"/>
          <w:kern w:val="2"/>
          <w:sz w:val="21"/>
          <w:szCs w:val="22"/>
          <w:lang w:val="en-US" w:eastAsia="zh-CN" w:bidi="ar-SA"/>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tabs>
          <w:tab w:val="left" w:pos="1443"/>
        </w:tabs>
        <w:jc w:val="left"/>
        <w:rPr>
          <w:rFonts w:hint="eastAsia"/>
          <w:color w:val="auto"/>
          <w:lang w:val="en-US" w:eastAsia="zh-CN"/>
        </w:rPr>
        <w:sectPr>
          <w:pgSz w:w="12240" w:h="15840"/>
          <w:pgMar w:top="1440" w:right="1800" w:bottom="1440" w:left="1800" w:header="720" w:footer="720" w:gutter="0"/>
          <w:pgBorders>
            <w:top w:val="none" w:sz="0" w:space="0"/>
            <w:left w:val="none" w:sz="0" w:space="0"/>
            <w:bottom w:val="none" w:sz="0" w:space="0"/>
            <w:right w:val="none" w:sz="0" w:space="0"/>
          </w:pgBorders>
          <w:pgNumType w:fmt="decimal"/>
          <w:cols w:space="720" w:num="1"/>
        </w:sectPr>
      </w:pPr>
      <w:r>
        <w:rPr>
          <w:rFonts w:hint="eastAsia"/>
          <w:color w:val="auto"/>
          <w:lang w:val="en-US" w:eastAsia="zh-CN"/>
        </w:rPr>
        <w:tab/>
      </w:r>
    </w:p>
    <w:p>
      <w:pPr>
        <w:spacing w:before="100" w:beforeAutospacing="1" w:line="252" w:lineRule="auto"/>
        <w:jc w:val="left"/>
        <w:rPr>
          <w:rFonts w:hint="eastAsia" w:ascii="仿宋" w:hAnsi="仿宋" w:eastAsia="仿宋" w:cs="Times New Roman"/>
          <w:color w:val="auto"/>
          <w:kern w:val="0"/>
          <w:sz w:val="28"/>
          <w:szCs w:val="28"/>
        </w:rPr>
      </w:pPr>
    </w:p>
    <w:p>
      <w:pPr>
        <w:pStyle w:val="10"/>
        <w:spacing w:before="0" w:beforeAutospacing="0"/>
        <w:ind w:left="0"/>
        <w:jc w:val="left"/>
        <w:outlineLvl w:val="0"/>
        <w:rPr>
          <w:rFonts w:hint="eastAsia"/>
          <w:b/>
          <w:bCs/>
          <w:color w:val="auto"/>
          <w:spacing w:val="-1"/>
        </w:rPr>
      </w:pPr>
      <w:bookmarkStart w:id="14" w:name="_Toc8881"/>
      <w:r>
        <w:rPr>
          <w:rFonts w:hint="eastAsia"/>
          <w:b/>
          <w:bCs/>
          <w:color w:val="auto"/>
          <w:spacing w:val="-1"/>
        </w:rPr>
        <w:t>附图</w:t>
      </w:r>
      <w:bookmarkEnd w:id="14"/>
    </w:p>
    <w:p>
      <w:pPr>
        <w:pStyle w:val="10"/>
        <w:widowControl w:val="0"/>
        <w:wordWrap/>
        <w:adjustRightInd/>
        <w:snapToGrid/>
        <w:spacing w:before="0" w:beforeAutospacing="0" w:line="240" w:lineRule="auto"/>
        <w:ind w:left="0"/>
        <w:jc w:val="both"/>
        <w:textAlignment w:val="auto"/>
        <w:rPr>
          <w:rFonts w:hint="default" w:ascii="Times New Roman" w:hAnsi="Times New Roman" w:cs="Times New Roman"/>
          <w:color w:val="auto"/>
          <w:spacing w:val="-1"/>
        </w:rPr>
      </w:pPr>
      <w:r>
        <w:rPr>
          <w:rFonts w:hint="default" w:ascii="Times New Roman" w:hAnsi="Times New Roman" w:cs="Times New Roman"/>
          <w:color w:val="auto"/>
          <w:spacing w:val="-1"/>
        </w:rPr>
        <w:t>附图 1 厂区地理位置图；</w:t>
      </w:r>
    </w:p>
    <w:p>
      <w:pPr>
        <w:pStyle w:val="10"/>
        <w:widowControl w:val="0"/>
        <w:wordWrap/>
        <w:adjustRightInd/>
        <w:snapToGrid/>
        <w:spacing w:before="0" w:beforeAutospacing="0" w:line="240" w:lineRule="auto"/>
        <w:ind w:left="0"/>
        <w:jc w:val="both"/>
        <w:textAlignment w:val="auto"/>
        <w:rPr>
          <w:rFonts w:hint="default" w:ascii="Times New Roman" w:hAnsi="Times New Roman" w:cs="Times New Roman"/>
          <w:color w:val="auto"/>
          <w:spacing w:val="-1"/>
        </w:rPr>
      </w:pPr>
      <w:r>
        <w:rPr>
          <w:rFonts w:hint="default" w:ascii="Times New Roman" w:hAnsi="Times New Roman" w:cs="Times New Roman"/>
          <w:color w:val="auto"/>
          <w:spacing w:val="-1"/>
        </w:rPr>
        <w:t>附图 2 厂区</w:t>
      </w:r>
      <w:r>
        <w:rPr>
          <w:rFonts w:hint="default" w:ascii="Times New Roman" w:hAnsi="Times New Roman" w:cs="Times New Roman"/>
          <w:color w:val="auto"/>
          <w:spacing w:val="-1"/>
          <w:lang w:eastAsia="zh-CN"/>
        </w:rPr>
        <w:t>周边概况图</w:t>
      </w:r>
      <w:r>
        <w:rPr>
          <w:rFonts w:hint="eastAsia" w:ascii="Times New Roman" w:hAnsi="Times New Roman" w:cs="Times New Roman"/>
          <w:color w:val="auto"/>
          <w:spacing w:val="-1"/>
          <w:lang w:eastAsia="zh-CN"/>
        </w:rPr>
        <w:t>及</w:t>
      </w:r>
      <w:r>
        <w:rPr>
          <w:rFonts w:hint="default" w:ascii="Times New Roman" w:hAnsi="Times New Roman" w:cs="Times New Roman"/>
          <w:color w:val="auto"/>
          <w:spacing w:val="-1"/>
          <w:lang w:eastAsia="zh-CN"/>
        </w:rPr>
        <w:t>环境保护目标分布图</w:t>
      </w:r>
      <w:r>
        <w:rPr>
          <w:rFonts w:hint="default" w:ascii="Times New Roman" w:hAnsi="Times New Roman" w:cs="Times New Roman"/>
          <w:color w:val="auto"/>
          <w:spacing w:val="-1"/>
        </w:rPr>
        <w:t>；</w:t>
      </w:r>
    </w:p>
    <w:p>
      <w:pPr>
        <w:pStyle w:val="10"/>
        <w:widowControl w:val="0"/>
        <w:wordWrap/>
        <w:adjustRightInd/>
        <w:snapToGrid/>
        <w:spacing w:before="0" w:beforeAutospacing="0" w:line="240" w:lineRule="auto"/>
        <w:ind w:left="0"/>
        <w:jc w:val="both"/>
        <w:textAlignment w:val="auto"/>
        <w:rPr>
          <w:rFonts w:hint="default" w:ascii="Times New Roman" w:hAnsi="Times New Roman" w:cs="Times New Roman"/>
          <w:color w:val="auto"/>
          <w:spacing w:val="-1"/>
          <w:lang w:eastAsia="zh-CN"/>
        </w:rPr>
      </w:pPr>
      <w:r>
        <w:rPr>
          <w:rFonts w:hint="default" w:ascii="Times New Roman" w:hAnsi="Times New Roman" w:cs="Times New Roman"/>
          <w:color w:val="auto"/>
          <w:spacing w:val="-1"/>
        </w:rPr>
        <w:t>附图 3 厂区</w:t>
      </w:r>
      <w:r>
        <w:rPr>
          <w:rFonts w:hint="default" w:ascii="Times New Roman" w:hAnsi="Times New Roman" w:cs="Times New Roman"/>
          <w:color w:val="auto"/>
          <w:spacing w:val="-1"/>
          <w:lang w:eastAsia="zh-CN"/>
        </w:rPr>
        <w:t>平面布置图</w:t>
      </w:r>
    </w:p>
    <w:p>
      <w:pPr>
        <w:pStyle w:val="10"/>
        <w:widowControl w:val="0"/>
        <w:wordWrap/>
        <w:adjustRightInd/>
        <w:snapToGrid/>
        <w:spacing w:before="0" w:beforeAutospacing="0" w:line="240" w:lineRule="auto"/>
        <w:ind w:left="0"/>
        <w:jc w:val="both"/>
        <w:textAlignment w:val="auto"/>
        <w:rPr>
          <w:rFonts w:hint="eastAsia"/>
          <w:color w:val="auto"/>
        </w:rPr>
      </w:pPr>
      <w:r>
        <w:rPr>
          <w:rFonts w:hint="default" w:ascii="Times New Roman" w:hAnsi="Times New Roman" w:cs="Times New Roman"/>
          <w:color w:val="auto"/>
          <w:spacing w:val="-1"/>
        </w:rPr>
        <w:t xml:space="preserve">附图 </w:t>
      </w:r>
      <w:r>
        <w:rPr>
          <w:rFonts w:hint="default" w:ascii="Times New Roman" w:hAnsi="Times New Roman" w:cs="Times New Roman"/>
          <w:color w:val="auto"/>
          <w:spacing w:val="-1"/>
          <w:lang w:val="en-US" w:eastAsia="zh-CN"/>
        </w:rPr>
        <w:t>4</w:t>
      </w:r>
      <w:r>
        <w:rPr>
          <w:rFonts w:hint="eastAsia"/>
          <w:color w:val="auto"/>
        </w:rPr>
        <w:t>污水</w:t>
      </w:r>
      <w:r>
        <w:rPr>
          <w:rFonts w:hint="eastAsia"/>
          <w:color w:val="auto"/>
          <w:lang w:eastAsia="zh-CN"/>
        </w:rPr>
        <w:t>、雨水、消防</w:t>
      </w:r>
      <w:r>
        <w:rPr>
          <w:rFonts w:hint="eastAsia"/>
          <w:color w:val="auto"/>
        </w:rPr>
        <w:t>管网图</w:t>
      </w:r>
    </w:p>
    <w:p>
      <w:pPr>
        <w:pStyle w:val="10"/>
        <w:widowControl w:val="0"/>
        <w:wordWrap/>
        <w:adjustRightInd/>
        <w:snapToGrid/>
        <w:spacing w:before="0" w:beforeAutospacing="0" w:line="240" w:lineRule="auto"/>
        <w:ind w:left="0"/>
        <w:jc w:val="both"/>
        <w:textAlignment w:val="auto"/>
        <w:rPr>
          <w:rFonts w:hint="default" w:ascii="Times New Roman" w:hAnsi="Times New Roman" w:cs="Times New Roman"/>
          <w:color w:val="auto"/>
          <w:spacing w:val="-1"/>
          <w:lang w:val="en-US" w:eastAsia="zh-CN"/>
        </w:rPr>
      </w:pPr>
      <w:r>
        <w:rPr>
          <w:rFonts w:hint="eastAsia" w:ascii="Times New Roman" w:hAnsi="Times New Roman" w:cs="Times New Roman"/>
          <w:color w:val="auto"/>
          <w:spacing w:val="-1"/>
          <w:lang w:eastAsia="zh-CN"/>
        </w:rPr>
        <w:t>附图</w:t>
      </w:r>
      <w:r>
        <w:rPr>
          <w:rFonts w:hint="eastAsia" w:ascii="Times New Roman" w:hAnsi="Times New Roman" w:cs="Times New Roman"/>
          <w:color w:val="auto"/>
          <w:spacing w:val="-1"/>
          <w:lang w:val="en-US" w:eastAsia="zh-CN"/>
        </w:rPr>
        <w:t xml:space="preserve"> 5 疏散路线图</w:t>
      </w:r>
    </w:p>
    <w:p>
      <w:pPr>
        <w:pStyle w:val="10"/>
        <w:spacing w:before="0" w:beforeAutospacing="0"/>
        <w:ind w:left="0"/>
        <w:rPr>
          <w:rFonts w:hint="eastAsia"/>
          <w:b/>
          <w:bCs/>
          <w:color w:val="auto"/>
          <w:spacing w:val="-1"/>
        </w:rPr>
      </w:pPr>
      <w:r>
        <w:rPr>
          <w:rFonts w:hint="default" w:ascii="Times New Roman" w:hAnsi="Times New Roman" w:cs="Times New Roman"/>
          <w:color w:val="auto"/>
          <w:sz w:val="24"/>
          <w:szCs w:val="24"/>
        </w:rPr>
        <w:t xml:space="preserve"> </w:t>
      </w:r>
      <w:r>
        <w:rPr>
          <w:rFonts w:hint="eastAsia"/>
          <w:b/>
          <w:bCs/>
          <w:color w:val="auto"/>
          <w:spacing w:val="-1"/>
        </w:rPr>
        <w:t xml:space="preserve">附件 </w:t>
      </w:r>
    </w:p>
    <w:p>
      <w:pPr>
        <w:pStyle w:val="10"/>
        <w:spacing w:line="286" w:lineRule="auto"/>
        <w:ind w:left="0"/>
        <w:rPr>
          <w:rFonts w:hint="eastAsia" w:ascii="Times New Roman" w:hAnsi="Times New Roman" w:eastAsia="仿宋" w:cs="Times New Roman"/>
          <w:color w:val="auto"/>
          <w:spacing w:val="-1"/>
          <w:lang w:eastAsia="zh-CN"/>
        </w:rPr>
      </w:pPr>
      <w:r>
        <w:rPr>
          <w:rFonts w:hint="default" w:ascii="Times New Roman" w:hAnsi="Times New Roman" w:cs="Times New Roman"/>
          <w:color w:val="auto"/>
          <w:spacing w:val="-1"/>
        </w:rPr>
        <w:t>附件1 环境影响报告表的审批意见</w:t>
      </w:r>
    </w:p>
    <w:p>
      <w:pPr>
        <w:pStyle w:val="10"/>
        <w:spacing w:before="0" w:beforeAutospacing="0" w:line="310" w:lineRule="exact"/>
        <w:ind w:left="0"/>
        <w:jc w:val="both"/>
        <w:rPr>
          <w:rFonts w:hint="eastAsia" w:ascii="Times New Roman" w:hAnsi="Times New Roman" w:eastAsia="仿宋" w:cs="Times New Roman"/>
          <w:color w:val="auto"/>
          <w:spacing w:val="-1"/>
          <w:lang w:eastAsia="zh-CN"/>
        </w:rPr>
      </w:pPr>
      <w:r>
        <w:rPr>
          <w:rFonts w:hint="default" w:ascii="Times New Roman" w:hAnsi="Times New Roman" w:cs="Times New Roman"/>
          <w:color w:val="auto"/>
          <w:spacing w:val="-1"/>
        </w:rPr>
        <w:t xml:space="preserve">附件2 </w:t>
      </w:r>
      <w:r>
        <w:rPr>
          <w:rFonts w:hint="eastAsia" w:ascii="Times New Roman" w:hAnsi="Times New Roman" w:cs="Times New Roman"/>
          <w:color w:val="auto"/>
          <w:spacing w:val="-1"/>
          <w:lang w:eastAsia="zh-CN"/>
        </w:rPr>
        <w:t>消防验收意见</w:t>
      </w:r>
    </w:p>
    <w:p>
      <w:pPr>
        <w:pStyle w:val="10"/>
        <w:spacing w:before="0" w:beforeAutospacing="0" w:line="364" w:lineRule="exact"/>
        <w:ind w:left="0"/>
        <w:rPr>
          <w:rFonts w:hint="default" w:ascii="Times New Roman" w:hAnsi="Times New Roman" w:eastAsia="仿宋" w:cs="Times New Roman"/>
          <w:color w:val="auto"/>
          <w:spacing w:val="-1"/>
          <w:lang w:val="en-US" w:eastAsia="zh-CN"/>
        </w:rPr>
      </w:pPr>
      <w:r>
        <w:rPr>
          <w:rFonts w:hint="eastAsia" w:ascii="Times New Roman" w:hAnsi="Times New Roman" w:cs="Times New Roman"/>
          <w:color w:val="auto"/>
          <w:spacing w:val="-1"/>
          <w:lang w:eastAsia="zh-CN"/>
        </w:rPr>
        <w:t>附件</w:t>
      </w:r>
      <w:r>
        <w:rPr>
          <w:rFonts w:hint="eastAsia" w:ascii="Times New Roman" w:hAnsi="Times New Roman" w:cs="Times New Roman"/>
          <w:color w:val="auto"/>
          <w:spacing w:val="-1"/>
          <w:lang w:val="en-US" w:eastAsia="zh-CN"/>
        </w:rPr>
        <w:t>3 安全预评价意见</w:t>
      </w:r>
    </w:p>
    <w:p>
      <w:pPr>
        <w:pStyle w:val="10"/>
        <w:spacing w:before="0" w:beforeAutospacing="0" w:line="364" w:lineRule="exact"/>
        <w:ind w:left="0"/>
        <w:rPr>
          <w:rFonts w:hint="eastAsia" w:ascii="Times New Roman" w:hAnsi="Times New Roman" w:eastAsia="仿宋" w:cs="Times New Roman"/>
          <w:color w:val="auto"/>
          <w:spacing w:val="-1"/>
          <w:lang w:eastAsia="zh-CN"/>
        </w:rPr>
      </w:pPr>
      <w:r>
        <w:rPr>
          <w:rFonts w:hint="default" w:ascii="Times New Roman" w:hAnsi="Times New Roman" w:cs="Times New Roman"/>
          <w:color w:val="auto"/>
          <w:spacing w:val="-1"/>
        </w:rPr>
        <w:t>附件</w:t>
      </w:r>
      <w:r>
        <w:rPr>
          <w:rFonts w:hint="eastAsia" w:ascii="Times New Roman" w:hAnsi="Times New Roman" w:cs="Times New Roman"/>
          <w:color w:val="auto"/>
          <w:spacing w:val="-1"/>
          <w:lang w:val="en-US" w:eastAsia="zh-CN"/>
        </w:rPr>
        <w:t xml:space="preserve">4 </w:t>
      </w:r>
      <w:r>
        <w:rPr>
          <w:rFonts w:hint="eastAsia" w:ascii="Times New Roman" w:hAnsi="Times New Roman" w:cs="Times New Roman"/>
          <w:color w:val="auto"/>
          <w:spacing w:val="-1"/>
          <w:lang w:eastAsia="zh-CN"/>
        </w:rPr>
        <w:t>互助协议</w:t>
      </w:r>
    </w:p>
    <w:p>
      <w:pPr>
        <w:pStyle w:val="10"/>
        <w:spacing w:before="0" w:beforeAutospacing="0" w:line="362" w:lineRule="exact"/>
        <w:ind w:left="0"/>
        <w:rPr>
          <w:rFonts w:hint="default" w:ascii="Times New Roman" w:hAnsi="Times New Roman" w:cs="Times New Roman"/>
          <w:color w:val="auto"/>
          <w:spacing w:val="-1"/>
        </w:rPr>
      </w:pPr>
      <w:r>
        <w:rPr>
          <w:rFonts w:hint="default" w:ascii="Times New Roman" w:hAnsi="Times New Roman" w:cs="Times New Roman"/>
          <w:color w:val="auto"/>
          <w:spacing w:val="-1"/>
        </w:rPr>
        <w:t>附件</w:t>
      </w:r>
      <w:r>
        <w:rPr>
          <w:rFonts w:hint="eastAsia" w:ascii="Times New Roman" w:hAnsi="Times New Roman" w:cs="Times New Roman"/>
          <w:color w:val="auto"/>
          <w:spacing w:val="-1"/>
          <w:lang w:val="en-US" w:eastAsia="zh-CN"/>
        </w:rPr>
        <w:t>5</w:t>
      </w:r>
      <w:r>
        <w:rPr>
          <w:rFonts w:hint="default" w:ascii="Times New Roman" w:hAnsi="Times New Roman" w:cs="Times New Roman"/>
          <w:color w:val="auto"/>
          <w:spacing w:val="-1"/>
        </w:rPr>
        <w:t xml:space="preserve"> 应急救援组织体系及联络表</w:t>
      </w:r>
    </w:p>
    <w:p>
      <w:pPr>
        <w:pStyle w:val="10"/>
        <w:spacing w:before="0" w:beforeAutospacing="0" w:line="362" w:lineRule="exact"/>
        <w:ind w:left="0"/>
        <w:rPr>
          <w:rFonts w:hint="eastAsia" w:ascii="Times New Roman" w:hAnsi="Times New Roman" w:cs="Times New Roman"/>
          <w:color w:val="auto"/>
          <w:spacing w:val="-1"/>
          <w:lang w:val="en-US" w:eastAsia="zh-CN"/>
        </w:rPr>
      </w:pPr>
      <w:r>
        <w:rPr>
          <w:rFonts w:hint="eastAsia" w:ascii="Times New Roman" w:hAnsi="Times New Roman" w:cs="Times New Roman"/>
          <w:color w:val="auto"/>
          <w:spacing w:val="-1"/>
          <w:lang w:eastAsia="zh-CN"/>
        </w:rPr>
        <w:t>附件</w:t>
      </w:r>
      <w:r>
        <w:rPr>
          <w:rFonts w:hint="eastAsia" w:ascii="Times New Roman" w:hAnsi="Times New Roman" w:cs="Times New Roman"/>
          <w:color w:val="auto"/>
          <w:spacing w:val="-1"/>
          <w:lang w:val="en-US" w:eastAsia="zh-CN"/>
        </w:rPr>
        <w:t>6 生产工艺过程</w:t>
      </w:r>
    </w:p>
    <w:p>
      <w:pPr>
        <w:pStyle w:val="10"/>
        <w:spacing w:before="0" w:beforeAutospacing="0" w:line="362" w:lineRule="exact"/>
        <w:ind w:left="0"/>
        <w:rPr>
          <w:rFonts w:hint="default" w:ascii="Times New Roman" w:hAnsi="Times New Roman" w:cs="Times New Roman"/>
          <w:color w:val="auto"/>
          <w:spacing w:val="-1"/>
          <w:lang w:val="en-US" w:eastAsia="zh-CN"/>
        </w:rPr>
      </w:pPr>
      <w:r>
        <w:rPr>
          <w:rFonts w:hint="default" w:ascii="Times New Roman" w:hAnsi="Times New Roman" w:cs="Times New Roman"/>
          <w:color w:val="auto"/>
          <w:spacing w:val="-1"/>
        </w:rPr>
        <w:t>附件</w:t>
      </w:r>
      <w:r>
        <w:rPr>
          <w:rFonts w:hint="eastAsia" w:ascii="Times New Roman" w:hAnsi="Times New Roman" w:cs="Times New Roman"/>
          <w:color w:val="auto"/>
          <w:spacing w:val="-1"/>
          <w:lang w:val="en-US" w:eastAsia="zh-CN"/>
        </w:rPr>
        <w:t>7 非危险化工工艺辨识</w:t>
      </w:r>
    </w:p>
    <w:p>
      <w:pPr>
        <w:pStyle w:val="10"/>
        <w:spacing w:before="0" w:beforeAutospacing="0" w:line="362" w:lineRule="exact"/>
        <w:ind w:left="0"/>
        <w:rPr>
          <w:rFonts w:hint="default" w:ascii="Times New Roman" w:hAnsi="Times New Roman" w:cs="Times New Roman"/>
          <w:color w:val="auto"/>
          <w:spacing w:val="-1"/>
        </w:rPr>
      </w:pPr>
      <w:r>
        <w:rPr>
          <w:rFonts w:hint="default" w:ascii="Times New Roman" w:hAnsi="Times New Roman" w:cs="Times New Roman"/>
          <w:color w:val="auto"/>
          <w:spacing w:val="-1"/>
        </w:rPr>
        <w:t>附件</w:t>
      </w:r>
      <w:r>
        <w:rPr>
          <w:rFonts w:hint="eastAsia" w:ascii="Times New Roman" w:hAnsi="Times New Roman" w:cs="Times New Roman"/>
          <w:color w:val="auto"/>
          <w:spacing w:val="-1"/>
          <w:lang w:val="en-US" w:eastAsia="zh-CN"/>
        </w:rPr>
        <w:t>8</w:t>
      </w:r>
      <w:r>
        <w:rPr>
          <w:rFonts w:hint="default" w:ascii="Times New Roman" w:hAnsi="Times New Roman" w:cs="Times New Roman"/>
          <w:color w:val="auto"/>
          <w:spacing w:val="-1"/>
        </w:rPr>
        <w:t>专家评审会签到表、打分表及专家评审意见</w:t>
      </w:r>
    </w:p>
    <w:p>
      <w:pPr>
        <w:pStyle w:val="10"/>
        <w:spacing w:before="0" w:beforeAutospacing="0" w:line="332" w:lineRule="exact"/>
        <w:ind w:left="0"/>
        <w:rPr>
          <w:rFonts w:hint="default" w:ascii="Times New Roman" w:hAnsi="Times New Roman" w:cs="Times New Roman"/>
          <w:color w:val="auto"/>
          <w:spacing w:val="-1"/>
        </w:rPr>
      </w:pPr>
      <w:r>
        <w:rPr>
          <w:rFonts w:hint="default" w:ascii="Times New Roman" w:hAnsi="Times New Roman" w:cs="Times New Roman"/>
          <w:color w:val="auto"/>
          <w:spacing w:val="-1"/>
        </w:rPr>
        <w:t>附件</w:t>
      </w:r>
      <w:r>
        <w:rPr>
          <w:rFonts w:hint="eastAsia" w:ascii="Times New Roman" w:hAnsi="Times New Roman" w:cs="Times New Roman"/>
          <w:color w:val="auto"/>
          <w:spacing w:val="-1"/>
          <w:lang w:val="en-US" w:eastAsia="zh-CN"/>
        </w:rPr>
        <w:t>9</w:t>
      </w:r>
      <w:r>
        <w:rPr>
          <w:rFonts w:hint="default" w:ascii="Times New Roman" w:hAnsi="Times New Roman" w:cs="Times New Roman"/>
          <w:color w:val="auto"/>
          <w:spacing w:val="-1"/>
        </w:rPr>
        <w:t>修改清单</w:t>
      </w:r>
    </w:p>
    <w:p>
      <w:pPr>
        <w:pStyle w:val="10"/>
        <w:spacing w:before="0" w:beforeAutospacing="0" w:line="362" w:lineRule="exact"/>
        <w:ind w:left="0"/>
        <w:rPr>
          <w:rFonts w:hint="eastAsia"/>
          <w:color w:val="auto"/>
          <w:spacing w:val="-1"/>
        </w:rPr>
      </w:pPr>
    </w:p>
    <w:p>
      <w:pPr>
        <w:jc w:val="center"/>
        <w:rPr>
          <w:rFonts w:hint="eastAsia" w:ascii="Times New Roman" w:hAnsi="Times New Roman" w:eastAsia="仿宋" w:cs="Times New Roman"/>
          <w:color w:val="auto"/>
          <w:sz w:val="52"/>
          <w:szCs w:val="52"/>
        </w:rPr>
      </w:pPr>
    </w:p>
    <w:p>
      <w:pPr>
        <w:jc w:val="center"/>
        <w:rPr>
          <w:rFonts w:hint="eastAsia" w:ascii="Times New Roman" w:hAnsi="Times New Roman" w:eastAsia="仿宋" w:cs="Times New Roman"/>
          <w:color w:val="auto"/>
          <w:sz w:val="52"/>
          <w:szCs w:val="52"/>
        </w:rPr>
      </w:pPr>
    </w:p>
    <w:p>
      <w:pPr>
        <w:jc w:val="center"/>
        <w:rPr>
          <w:rFonts w:hint="eastAsia" w:ascii="Times New Roman" w:hAnsi="Times New Roman" w:eastAsia="仿宋" w:cs="Times New Roman"/>
          <w:color w:val="auto"/>
          <w:sz w:val="52"/>
          <w:szCs w:val="52"/>
        </w:rPr>
      </w:pPr>
    </w:p>
    <w:p>
      <w:pPr>
        <w:jc w:val="center"/>
        <w:rPr>
          <w:rFonts w:hint="eastAsia" w:ascii="Times New Roman" w:hAnsi="Times New Roman" w:eastAsia="仿宋" w:cs="Times New Roman"/>
          <w:color w:val="auto"/>
          <w:sz w:val="52"/>
          <w:szCs w:val="52"/>
        </w:rPr>
      </w:pPr>
    </w:p>
    <w:p>
      <w:pPr>
        <w:jc w:val="center"/>
        <w:rPr>
          <w:rFonts w:hint="eastAsia" w:ascii="Times New Roman" w:hAnsi="Times New Roman" w:eastAsia="仿宋" w:cs="Times New Roman"/>
          <w:color w:val="auto"/>
          <w:sz w:val="52"/>
          <w:szCs w:val="52"/>
        </w:rPr>
      </w:pPr>
    </w:p>
    <w:p>
      <w:pPr>
        <w:jc w:val="center"/>
        <w:rPr>
          <w:rFonts w:hint="eastAsia" w:ascii="Times New Roman" w:hAnsi="Times New Roman" w:eastAsia="仿宋" w:cs="Times New Roman"/>
          <w:color w:val="auto"/>
          <w:sz w:val="52"/>
          <w:szCs w:val="52"/>
        </w:rPr>
      </w:pPr>
    </w:p>
    <w:p>
      <w:pPr>
        <w:jc w:val="center"/>
        <w:rPr>
          <w:rFonts w:hint="eastAsia" w:ascii="Times New Roman" w:hAnsi="Times New Roman" w:eastAsia="仿宋" w:cs="Times New Roman"/>
          <w:color w:val="auto"/>
          <w:sz w:val="52"/>
          <w:szCs w:val="52"/>
        </w:rPr>
      </w:pPr>
    </w:p>
    <w:p>
      <w:pPr>
        <w:jc w:val="center"/>
        <w:rPr>
          <w:rFonts w:hint="eastAsia" w:ascii="Times New Roman" w:hAnsi="Times New Roman" w:eastAsia="仿宋" w:cs="Times New Roman"/>
          <w:color w:val="auto"/>
          <w:sz w:val="52"/>
          <w:szCs w:val="52"/>
        </w:rPr>
      </w:pPr>
    </w:p>
    <w:p>
      <w:pPr>
        <w:jc w:val="center"/>
        <w:rPr>
          <w:rFonts w:hint="eastAsia" w:ascii="Times New Roman" w:hAnsi="Times New Roman" w:eastAsia="仿宋" w:cs="Times New Roman"/>
          <w:color w:val="auto"/>
          <w:sz w:val="52"/>
          <w:szCs w:val="52"/>
        </w:rPr>
      </w:pPr>
    </w:p>
    <w:p>
      <w:pPr>
        <w:jc w:val="center"/>
        <w:rPr>
          <w:rFonts w:hint="eastAsia" w:ascii="Times New Roman" w:hAnsi="Times New Roman" w:eastAsia="仿宋" w:cs="Times New Roman"/>
          <w:color w:val="auto"/>
          <w:sz w:val="52"/>
          <w:szCs w:val="52"/>
        </w:rPr>
      </w:pPr>
    </w:p>
    <w:p>
      <w:pPr>
        <w:jc w:val="center"/>
        <w:rPr>
          <w:rFonts w:hint="eastAsia" w:ascii="Times New Roman" w:hAnsi="Times New Roman" w:eastAsia="仿宋" w:cs="Times New Roman"/>
          <w:color w:val="auto"/>
          <w:sz w:val="52"/>
          <w:szCs w:val="52"/>
        </w:rPr>
      </w:pPr>
    </w:p>
    <w:p>
      <w:pPr>
        <w:jc w:val="center"/>
        <w:rPr>
          <w:rFonts w:hint="eastAsia" w:ascii="Times New Roman" w:hAnsi="Times New Roman" w:eastAsia="仿宋" w:cs="Times New Roman"/>
          <w:color w:val="auto"/>
          <w:sz w:val="52"/>
          <w:szCs w:val="52"/>
        </w:rPr>
      </w:pPr>
    </w:p>
    <w:p>
      <w:pPr>
        <w:jc w:val="center"/>
        <w:rPr>
          <w:rFonts w:hint="eastAsia" w:ascii="Times New Roman" w:hAnsi="Times New Roman" w:eastAsia="仿宋" w:cs="Times New Roman"/>
          <w:color w:val="auto"/>
          <w:sz w:val="52"/>
          <w:szCs w:val="52"/>
        </w:rPr>
      </w:pPr>
    </w:p>
    <w:p>
      <w:pPr>
        <w:jc w:val="center"/>
        <w:rPr>
          <w:rFonts w:hint="eastAsia" w:ascii="Times New Roman" w:hAnsi="Times New Roman" w:eastAsia="仿宋" w:cs="Times New Roman"/>
          <w:color w:val="auto"/>
          <w:sz w:val="52"/>
          <w:szCs w:val="52"/>
        </w:rPr>
      </w:pPr>
    </w:p>
    <w:p>
      <w:pPr>
        <w:jc w:val="center"/>
        <w:rPr>
          <w:rFonts w:hint="eastAsia" w:ascii="Times New Roman" w:hAnsi="Times New Roman" w:eastAsia="仿宋" w:cs="Times New Roman"/>
          <w:color w:val="auto"/>
          <w:sz w:val="52"/>
          <w:szCs w:val="52"/>
        </w:rPr>
      </w:pPr>
    </w:p>
    <w:p>
      <w:pPr>
        <w:numPr>
          <w:ilvl w:val="0"/>
          <w:numId w:val="0"/>
        </w:numPr>
        <w:spacing w:line="360" w:lineRule="auto"/>
        <w:jc w:val="center"/>
        <w:outlineLvl w:val="0"/>
        <w:rPr>
          <w:rFonts w:hint="eastAsia" w:ascii="Times New Roman" w:hAnsi="Times New Roman" w:eastAsia="仿宋" w:cs="Times New Roman"/>
          <w:b/>
          <w:bCs/>
          <w:color w:val="auto"/>
          <w:sz w:val="84"/>
          <w:szCs w:val="84"/>
        </w:rPr>
      </w:pPr>
      <w:bookmarkStart w:id="15" w:name="_Toc3969"/>
      <w:r>
        <w:rPr>
          <w:rFonts w:hint="eastAsia" w:ascii="Times New Roman" w:hAnsi="Times New Roman" w:eastAsia="仿宋" w:cs="Times New Roman"/>
          <w:b/>
          <w:bCs/>
          <w:color w:val="auto"/>
          <w:sz w:val="84"/>
          <w:szCs w:val="84"/>
          <w:lang w:eastAsia="zh-CN"/>
        </w:rPr>
        <w:t>第一部分</w:t>
      </w:r>
      <w:r>
        <w:rPr>
          <w:rFonts w:hint="eastAsia" w:ascii="Times New Roman" w:hAnsi="Times New Roman" w:eastAsia="仿宋" w:cs="Times New Roman"/>
          <w:b/>
          <w:bCs/>
          <w:color w:val="auto"/>
          <w:sz w:val="84"/>
          <w:szCs w:val="84"/>
        </w:rPr>
        <w:t xml:space="preserve"> </w:t>
      </w:r>
    </w:p>
    <w:p>
      <w:pPr>
        <w:numPr>
          <w:ilvl w:val="0"/>
          <w:numId w:val="0"/>
        </w:numPr>
        <w:spacing w:line="360" w:lineRule="auto"/>
        <w:jc w:val="center"/>
        <w:outlineLvl w:val="0"/>
        <w:rPr>
          <w:rFonts w:hint="eastAsia" w:ascii="Times New Roman" w:hAnsi="Times New Roman" w:eastAsia="仿宋" w:cs="Times New Roman"/>
          <w:b/>
          <w:bCs/>
          <w:color w:val="auto"/>
          <w:sz w:val="84"/>
          <w:szCs w:val="84"/>
        </w:rPr>
        <w:sectPr>
          <w:pgSz w:w="12240" w:h="15840"/>
          <w:pgMar w:top="1440" w:right="1406" w:bottom="1440" w:left="1463" w:header="720" w:footer="720"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仿宋" w:cs="Times New Roman"/>
          <w:b/>
          <w:bCs/>
          <w:color w:val="auto"/>
          <w:sz w:val="84"/>
          <w:szCs w:val="84"/>
        </w:rPr>
        <w:t>环境风险评估报告</w:t>
      </w:r>
      <w:bookmarkEnd w:id="15"/>
    </w:p>
    <w:p>
      <w:pPr>
        <w:jc w:val="center"/>
        <w:rPr>
          <w:rFonts w:hint="eastAsia" w:ascii="Times New Roman" w:hAnsi="Times New Roman" w:eastAsia="仿宋" w:cs="Times New Roman"/>
          <w:color w:val="auto"/>
          <w:sz w:val="52"/>
          <w:szCs w:val="52"/>
        </w:rPr>
      </w:pPr>
    </w:p>
    <w:p>
      <w:pPr>
        <w:pStyle w:val="10"/>
        <w:spacing w:before="0" w:beforeAutospacing="0" w:line="360" w:lineRule="auto"/>
        <w:outlineLvl w:val="0"/>
        <w:rPr>
          <w:rFonts w:ascii="Times New Roman" w:hAnsi="Times New Roman"/>
          <w:color w:val="auto"/>
        </w:rPr>
        <w:sectPr>
          <w:footerReference r:id="rId3" w:type="default"/>
          <w:type w:val="continuous"/>
          <w:pgSz w:w="12240" w:h="15840"/>
          <w:pgMar w:top="1440" w:right="1800" w:bottom="1440" w:left="1800" w:header="720" w:footer="720" w:gutter="0"/>
          <w:pgBorders>
            <w:top w:val="none" w:sz="0" w:space="0"/>
            <w:left w:val="none" w:sz="0" w:space="0"/>
            <w:bottom w:val="none" w:sz="0" w:space="0"/>
            <w:right w:val="none" w:sz="0" w:space="0"/>
          </w:pgBorders>
          <w:pgNumType w:fmt="decimal"/>
          <w:cols w:space="720" w:num="1"/>
        </w:sectPr>
      </w:pPr>
    </w:p>
    <w:p>
      <w:pPr>
        <w:pStyle w:val="10"/>
        <w:widowControl w:val="0"/>
        <w:wordWrap/>
        <w:adjustRightInd w:val="0"/>
        <w:snapToGrid w:val="0"/>
        <w:spacing w:before="0" w:beforeAutospacing="0" w:line="240" w:lineRule="auto"/>
        <w:jc w:val="both"/>
        <w:textAlignment w:val="auto"/>
        <w:outlineLvl w:val="0"/>
        <w:rPr>
          <w:rFonts w:hint="eastAsia" w:ascii="Times New Roman" w:hAnsi="仿宋" w:eastAsia="仿宋" w:cs="Times New Roman"/>
          <w:b/>
          <w:bCs/>
          <w:color w:val="auto"/>
          <w:kern w:val="2"/>
          <w:sz w:val="28"/>
          <w:szCs w:val="28"/>
          <w:lang w:val="en-US" w:eastAsia="zh-CN" w:bidi="ar-SA"/>
        </w:rPr>
      </w:pPr>
      <w:bookmarkStart w:id="16" w:name="_Toc22873"/>
      <w:r>
        <w:rPr>
          <w:rFonts w:hint="eastAsia" w:ascii="Times New Roman" w:hAnsi="仿宋" w:eastAsia="仿宋" w:cs="Times New Roman"/>
          <w:b/>
          <w:bCs/>
          <w:color w:val="auto"/>
          <w:kern w:val="2"/>
          <w:sz w:val="28"/>
          <w:szCs w:val="28"/>
          <w:lang w:val="en-US" w:eastAsia="zh-CN" w:bidi="ar-SA"/>
        </w:rPr>
        <w:t>1 前言</w:t>
      </w:r>
      <w:bookmarkEnd w:id="16"/>
    </w:p>
    <w:p>
      <w:pPr>
        <w:widowControl w:val="0"/>
        <w:wordWrap/>
        <w:adjustRightInd w:val="0"/>
        <w:snapToGrid w:val="0"/>
        <w:spacing w:line="240" w:lineRule="auto"/>
        <w:ind w:firstLine="560" w:firstLineChars="200"/>
        <w:jc w:val="both"/>
        <w:textAlignment w:val="auto"/>
        <w:rPr>
          <w:rFonts w:hint="eastAsia" w:ascii="Times New Roman" w:hAnsi="仿宋" w:eastAsia="仿宋" w:cs="Times New Roman"/>
          <w:color w:val="auto"/>
          <w:kern w:val="2"/>
          <w:sz w:val="28"/>
          <w:szCs w:val="28"/>
          <w:lang w:val="en-US" w:eastAsia="zh-CN" w:bidi="ar-SA"/>
        </w:rPr>
      </w:pPr>
      <w:r>
        <w:rPr>
          <w:rFonts w:hint="eastAsia" w:ascii="Times New Roman" w:hAnsi="仿宋" w:eastAsia="仿宋" w:cs="Times New Roman"/>
          <w:color w:val="auto"/>
          <w:kern w:val="2"/>
          <w:sz w:val="28"/>
          <w:szCs w:val="28"/>
          <w:lang w:val="en-US" w:eastAsia="zh-CN" w:bidi="ar-SA"/>
        </w:rPr>
        <w:t>根据环保部《关于印发〈企业突发环境事件风险评估指南（试行）〉的通知》（环办〔2014〕34号）、《企业突发环境事件风险分级方法》（HJ941-2018），为有效降低区域环境风险，逐步建立健全环境风险防控长效工作机制，江苏超力建材科技有限公司委托江苏徐海环境监测有限公司承担该企业环境风险评估和应急预案报告的编制工作。</w:t>
      </w:r>
    </w:p>
    <w:p>
      <w:pPr>
        <w:widowControl w:val="0"/>
        <w:wordWrap/>
        <w:adjustRightInd w:val="0"/>
        <w:snapToGrid w:val="0"/>
        <w:spacing w:line="240" w:lineRule="auto"/>
        <w:ind w:firstLine="560" w:firstLineChars="200"/>
        <w:jc w:val="both"/>
        <w:textAlignment w:val="auto"/>
        <w:rPr>
          <w:rFonts w:hint="eastAsia" w:ascii="Times New Roman" w:hAnsi="仿宋" w:eastAsia="仿宋" w:cs="Times New Roman"/>
          <w:color w:val="auto"/>
          <w:kern w:val="2"/>
          <w:sz w:val="28"/>
          <w:szCs w:val="28"/>
          <w:lang w:val="en-US" w:eastAsia="zh-CN" w:bidi="ar-SA"/>
        </w:rPr>
      </w:pPr>
      <w:r>
        <w:rPr>
          <w:rFonts w:hint="eastAsia" w:ascii="Times New Roman" w:hAnsi="仿宋" w:eastAsia="仿宋" w:cs="Times New Roman"/>
          <w:color w:val="auto"/>
          <w:kern w:val="2"/>
          <w:sz w:val="28"/>
          <w:szCs w:val="28"/>
          <w:lang w:val="en-US" w:eastAsia="zh-CN" w:bidi="ar-SA"/>
        </w:rPr>
        <w:t>江苏徐海环境监测有限公司通过收集资料和信息、现场勘察，并与企业相关部门、人员充分交流，并对公司内部风险源进行摸底排查，查清目前存在的环境风险隐患，科学评估环境风险防控能力，客观界定环境风险等级。</w:t>
      </w:r>
    </w:p>
    <w:p>
      <w:pPr>
        <w:widowControl w:val="0"/>
        <w:wordWrap/>
        <w:adjustRightInd w:val="0"/>
        <w:snapToGrid w:val="0"/>
        <w:spacing w:line="240" w:lineRule="auto"/>
        <w:ind w:firstLine="560" w:firstLineChars="200"/>
        <w:jc w:val="both"/>
        <w:textAlignment w:val="auto"/>
        <w:rPr>
          <w:rFonts w:hint="eastAsia" w:ascii="Times New Roman" w:hAnsi="仿宋" w:eastAsia="仿宋" w:cs="Times New Roman"/>
          <w:color w:val="auto"/>
          <w:kern w:val="2"/>
          <w:sz w:val="28"/>
          <w:szCs w:val="28"/>
          <w:lang w:val="en-US" w:eastAsia="zh-CN" w:bidi="ar-SA"/>
        </w:rPr>
      </w:pPr>
      <w:r>
        <w:rPr>
          <w:rFonts w:hint="eastAsia" w:ascii="Times New Roman" w:hAnsi="仿宋" w:eastAsia="仿宋" w:cs="Times New Roman"/>
          <w:color w:val="auto"/>
          <w:kern w:val="2"/>
          <w:sz w:val="28"/>
          <w:szCs w:val="28"/>
          <w:lang w:val="en-US" w:eastAsia="zh-CN" w:bidi="ar-SA"/>
        </w:rPr>
        <w:t xml:space="preserve">根据企业的具体情况，按照《企业突发环境事件风险评估指南（试行）》和《企业突发环境事件风险分级方法》（HJ941-2018）要求，编制了《江苏超力建材科技有限公司突发环境事件风险评估报告》，为应急预案文件编制及企业突发环境事件管理提供依据，以及后期的企业环境风险监管和编制突发环境事件预案奠定基础；可以切实指导企业建设高效的环境风险管理和应急救援体系，提高风险防控与应急监测处置能力。 </w:t>
      </w:r>
    </w:p>
    <w:p>
      <w:pPr>
        <w:widowControl w:val="0"/>
        <w:wordWrap/>
        <w:adjustRightInd w:val="0"/>
        <w:snapToGrid w:val="0"/>
        <w:spacing w:line="240" w:lineRule="auto"/>
        <w:ind w:firstLine="560" w:firstLineChars="200"/>
        <w:jc w:val="both"/>
        <w:textAlignment w:val="auto"/>
        <w:rPr>
          <w:rFonts w:hint="eastAsia" w:ascii="Times New Roman" w:hAnsi="仿宋" w:eastAsia="仿宋" w:cs="Times New Roman"/>
          <w:color w:val="auto"/>
          <w:kern w:val="2"/>
          <w:sz w:val="28"/>
          <w:szCs w:val="28"/>
          <w:lang w:val="en-US" w:eastAsia="zh-CN" w:bidi="ar-SA"/>
        </w:rPr>
      </w:pPr>
      <w:r>
        <w:rPr>
          <w:rFonts w:hint="eastAsia" w:ascii="Times New Roman" w:hAnsi="仿宋" w:eastAsia="仿宋" w:cs="Times New Roman"/>
          <w:color w:val="auto"/>
          <w:kern w:val="2"/>
          <w:sz w:val="28"/>
          <w:szCs w:val="28"/>
          <w:lang w:val="en-US" w:eastAsia="zh-CN" w:bidi="ar-SA"/>
        </w:rPr>
        <w:t>本报告对江苏超力建材科技有限公司生产过程可能发生的突发环境事件进行风险评估，评估对象为生产过程中所涉及的化学品等，评估目的是确定江苏超力建材科技有限公司突发环境事件的风险等级</w:t>
      </w:r>
      <w:r>
        <w:rPr>
          <w:rFonts w:hint="default" w:ascii="Times New Roman" w:hAnsi="仿宋" w:eastAsia="仿宋" w:cs="Times New Roman"/>
          <w:color w:val="auto"/>
          <w:kern w:val="2"/>
          <w:sz w:val="28"/>
          <w:szCs w:val="28"/>
          <w:lang w:val="en-US" w:eastAsia="zh-CN" w:bidi="ar-SA"/>
        </w:rPr>
        <w:t>。</w:t>
      </w:r>
    </w:p>
    <w:p>
      <w:pPr>
        <w:spacing w:line="362" w:lineRule="exact"/>
        <w:rPr>
          <w:rFonts w:hint="eastAsia" w:ascii="Times New Roman" w:hAnsi="仿宋" w:eastAsia="仿宋" w:cs="Times New Roman"/>
          <w:color w:val="auto"/>
          <w:kern w:val="2"/>
          <w:sz w:val="28"/>
          <w:szCs w:val="28"/>
          <w:lang w:val="en-US" w:eastAsia="zh-CN" w:bidi="ar-SA"/>
        </w:rPr>
        <w:sectPr>
          <w:headerReference r:id="rId4" w:type="default"/>
          <w:footerReference r:id="rId5" w:type="default"/>
          <w:pgSz w:w="12240" w:h="15840"/>
          <w:pgMar w:top="1440" w:right="1800" w:bottom="1440" w:left="1800" w:header="720" w:footer="720" w:gutter="0"/>
          <w:pgBorders>
            <w:top w:val="none" w:sz="0" w:space="0"/>
            <w:left w:val="none" w:sz="0" w:space="0"/>
            <w:bottom w:val="none" w:sz="0" w:space="0"/>
            <w:right w:val="none" w:sz="0" w:space="0"/>
          </w:pgBorders>
          <w:pgNumType w:fmt="decimal" w:start="1"/>
          <w:cols w:space="720" w:num="1"/>
        </w:sectPr>
      </w:pPr>
    </w:p>
    <w:p>
      <w:pPr>
        <w:pStyle w:val="4"/>
        <w:keepNext/>
        <w:keepLines/>
        <w:numPr>
          <w:ilvl w:val="0"/>
          <w:numId w:val="0"/>
        </w:numPr>
        <w:adjustRightInd w:val="0"/>
        <w:snapToGrid w:val="0"/>
        <w:spacing w:before="0" w:beforeAutospacing="0" w:line="360" w:lineRule="auto"/>
        <w:jc w:val="both"/>
        <w:outlineLvl w:val="0"/>
        <w:rPr>
          <w:rFonts w:ascii="Times New Roman"/>
          <w:b/>
          <w:bCs/>
          <w:color w:val="auto"/>
          <w:sz w:val="32"/>
          <w:szCs w:val="32"/>
        </w:rPr>
      </w:pPr>
      <w:bookmarkStart w:id="17" w:name="_Toc14050"/>
      <w:r>
        <w:rPr>
          <w:rFonts w:hint="eastAsia" w:ascii="Times New Roman"/>
          <w:b/>
          <w:bCs/>
          <w:color w:val="auto"/>
          <w:sz w:val="32"/>
          <w:szCs w:val="32"/>
          <w:lang w:val="en-US" w:eastAsia="zh-CN"/>
        </w:rPr>
        <w:t>2</w:t>
      </w:r>
      <w:r>
        <w:rPr>
          <w:rFonts w:ascii="Times New Roman"/>
          <w:b/>
          <w:bCs/>
          <w:color w:val="auto"/>
          <w:sz w:val="32"/>
          <w:szCs w:val="32"/>
        </w:rPr>
        <w:t>总则</w:t>
      </w:r>
      <w:bookmarkEnd w:id="17"/>
    </w:p>
    <w:p>
      <w:pPr>
        <w:pStyle w:val="5"/>
        <w:keepNext/>
        <w:keepLines/>
        <w:adjustRightInd w:val="0"/>
        <w:snapToGrid w:val="0"/>
        <w:spacing w:before="0" w:beforeAutospacing="0" w:line="360" w:lineRule="auto"/>
        <w:ind w:left="0"/>
        <w:jc w:val="both"/>
        <w:rPr>
          <w:rFonts w:hint="default" w:ascii="Times New Roman" w:hAnsi="Times New Roman" w:eastAsia="仿宋" w:cs="Times New Roman"/>
          <w:b/>
          <w:bCs/>
          <w:color w:val="auto"/>
          <w:sz w:val="30"/>
          <w:szCs w:val="30"/>
        </w:rPr>
      </w:pPr>
      <w:bookmarkStart w:id="18" w:name="_Toc26948"/>
      <w:bookmarkStart w:id="19" w:name="_Toc27364_WPSOffice_Level3"/>
      <w:r>
        <w:rPr>
          <w:rFonts w:hint="default" w:ascii="Times New Roman" w:hAnsi="Times New Roman" w:eastAsia="仿宋" w:cs="Times New Roman"/>
          <w:b/>
          <w:bCs/>
          <w:color w:val="auto"/>
          <w:sz w:val="30"/>
          <w:szCs w:val="30"/>
          <w:lang w:val="en-US" w:eastAsia="zh-CN"/>
        </w:rPr>
        <w:t>2.1 编制原则</w:t>
      </w:r>
      <w:bookmarkEnd w:id="18"/>
      <w:bookmarkEnd w:id="19"/>
      <w:r>
        <w:rPr>
          <w:rFonts w:hint="default" w:ascii="Times New Roman" w:hAnsi="Times New Roman" w:eastAsia="仿宋" w:cs="Times New Roman"/>
          <w:b/>
          <w:bCs/>
          <w:color w:val="auto"/>
          <w:sz w:val="30"/>
          <w:szCs w:val="30"/>
          <w:lang w:val="en-US" w:eastAsia="zh-CN"/>
        </w:rPr>
        <w:t xml:space="preserve"> </w:t>
      </w:r>
    </w:p>
    <w:p>
      <w:pPr>
        <w:widowControl w:val="0"/>
        <w:wordWrap/>
        <w:adjustRightInd/>
        <w:snapToGrid w:val="0"/>
        <w:spacing w:before="50" w:after="50"/>
        <w:ind w:firstLine="560" w:firstLineChars="200"/>
        <w:textAlignment w:val="auto"/>
        <w:rPr>
          <w:rFonts w:ascii="Times New Roman" w:hAnsi="仿宋" w:eastAsia="仿宋" w:cs="Times New Roman"/>
          <w:color w:val="auto"/>
          <w:sz w:val="28"/>
          <w:szCs w:val="28"/>
        </w:rPr>
      </w:pPr>
      <w:r>
        <w:rPr>
          <w:rFonts w:hint="eastAsia" w:ascii="Times New Roman" w:hAnsi="仿宋" w:eastAsia="仿宋" w:cs="Times New Roman"/>
          <w:color w:val="auto"/>
          <w:sz w:val="28"/>
          <w:szCs w:val="28"/>
          <w:lang w:val="en-US" w:eastAsia="zh-CN"/>
        </w:rPr>
        <w:t xml:space="preserve">本评估报告的编制遵循以下几点原则： </w:t>
      </w:r>
    </w:p>
    <w:p>
      <w:pPr>
        <w:widowControl w:val="0"/>
        <w:wordWrap/>
        <w:adjustRightInd/>
        <w:snapToGrid w:val="0"/>
        <w:spacing w:before="50" w:after="50"/>
        <w:ind w:firstLine="560" w:firstLineChars="200"/>
        <w:textAlignment w:val="auto"/>
        <w:rPr>
          <w:rFonts w:ascii="Times New Roman" w:hAnsi="仿宋" w:eastAsia="仿宋" w:cs="Times New Roman"/>
          <w:color w:val="auto"/>
          <w:sz w:val="28"/>
          <w:szCs w:val="28"/>
        </w:rPr>
      </w:pPr>
      <w:r>
        <w:rPr>
          <w:rFonts w:hint="eastAsia" w:ascii="Times New Roman" w:hAnsi="仿宋" w:eastAsia="仿宋" w:cs="Times New Roman"/>
          <w:color w:val="auto"/>
          <w:sz w:val="28"/>
          <w:szCs w:val="28"/>
          <w:lang w:val="en-US" w:eastAsia="zh-CN"/>
        </w:rPr>
        <w:t xml:space="preserve">（1）全面、细致地进行现状调查； </w:t>
      </w:r>
    </w:p>
    <w:p>
      <w:pPr>
        <w:widowControl w:val="0"/>
        <w:wordWrap/>
        <w:adjustRightInd/>
        <w:snapToGrid w:val="0"/>
        <w:spacing w:before="50" w:after="50"/>
        <w:ind w:firstLine="560" w:firstLineChars="200"/>
        <w:textAlignment w:val="auto"/>
        <w:rPr>
          <w:rFonts w:ascii="Times New Roman" w:hAnsi="仿宋" w:eastAsia="仿宋" w:cs="Times New Roman"/>
          <w:color w:val="auto"/>
          <w:sz w:val="28"/>
          <w:szCs w:val="28"/>
        </w:rPr>
      </w:pPr>
      <w:r>
        <w:rPr>
          <w:rFonts w:hint="eastAsia" w:ascii="Times New Roman" w:hAnsi="仿宋" w:eastAsia="仿宋" w:cs="Times New Roman"/>
          <w:color w:val="auto"/>
          <w:sz w:val="28"/>
          <w:szCs w:val="28"/>
          <w:lang w:val="en-US" w:eastAsia="zh-CN"/>
        </w:rPr>
        <w:t xml:space="preserve">（2） 科学、客观地进行评估，如实反映企业的环境风险水平； </w:t>
      </w:r>
    </w:p>
    <w:p>
      <w:pPr>
        <w:widowControl w:val="0"/>
        <w:wordWrap/>
        <w:adjustRightInd/>
        <w:snapToGrid w:val="0"/>
        <w:spacing w:before="50" w:after="50"/>
        <w:ind w:firstLine="560" w:firstLineChars="200"/>
        <w:textAlignment w:val="auto"/>
        <w:rPr>
          <w:rFonts w:ascii="Times New Roman" w:hAnsi="仿宋" w:eastAsia="仿宋" w:cs="Times New Roman"/>
          <w:color w:val="auto"/>
          <w:sz w:val="28"/>
          <w:szCs w:val="28"/>
        </w:rPr>
      </w:pPr>
      <w:r>
        <w:rPr>
          <w:rFonts w:hint="eastAsia" w:ascii="Times New Roman" w:hAnsi="仿宋" w:eastAsia="仿宋" w:cs="Times New Roman"/>
          <w:color w:val="auto"/>
          <w:sz w:val="28"/>
          <w:szCs w:val="28"/>
          <w:lang w:val="en-US" w:eastAsia="zh-CN"/>
        </w:rPr>
        <w:t xml:space="preserve">（3）认真排查企业存在的环境风险，严格对照《企业突发环境事件风险评估指南(试行)》制定整改方案； </w:t>
      </w:r>
    </w:p>
    <w:p>
      <w:pPr>
        <w:widowControl w:val="0"/>
        <w:wordWrap/>
        <w:adjustRightInd/>
        <w:snapToGrid w:val="0"/>
        <w:spacing w:before="50" w:after="50"/>
        <w:ind w:firstLine="560" w:firstLineChars="200"/>
        <w:textAlignment w:val="auto"/>
        <w:rPr>
          <w:rFonts w:ascii="Times New Roman" w:hAnsi="仿宋" w:eastAsia="仿宋" w:cs="Times New Roman"/>
          <w:color w:val="auto"/>
          <w:sz w:val="28"/>
          <w:szCs w:val="28"/>
        </w:rPr>
      </w:pPr>
      <w:r>
        <w:rPr>
          <w:rFonts w:hint="eastAsia" w:ascii="Times New Roman" w:hAnsi="仿宋" w:eastAsia="仿宋" w:cs="Times New Roman"/>
          <w:color w:val="auto"/>
          <w:sz w:val="28"/>
          <w:szCs w:val="28"/>
          <w:lang w:val="en-US" w:eastAsia="zh-CN"/>
        </w:rPr>
        <w:t>（4）评估报告的内容和格式符合《企业突发环境事件风险评估指南（试行）》的要求。</w:t>
      </w:r>
    </w:p>
    <w:p>
      <w:pPr>
        <w:pStyle w:val="5"/>
        <w:keepNext/>
        <w:keepLines/>
        <w:adjustRightInd w:val="0"/>
        <w:snapToGrid w:val="0"/>
        <w:spacing w:before="0" w:beforeAutospacing="0" w:line="360" w:lineRule="auto"/>
        <w:ind w:left="0"/>
        <w:jc w:val="both"/>
        <w:rPr>
          <w:rFonts w:ascii="Times New Roman" w:hAnsi="Times New Roman"/>
          <w:b/>
          <w:bCs/>
          <w:color w:val="auto"/>
          <w:sz w:val="30"/>
          <w:szCs w:val="30"/>
        </w:rPr>
      </w:pPr>
      <w:bookmarkStart w:id="20" w:name="_Toc15516"/>
      <w:r>
        <w:rPr>
          <w:rFonts w:ascii="Times New Roman" w:hAnsi="Times New Roman"/>
          <w:b/>
          <w:bCs/>
          <w:color w:val="auto"/>
          <w:sz w:val="30"/>
          <w:szCs w:val="30"/>
        </w:rPr>
        <w:t>2.</w:t>
      </w:r>
      <w:r>
        <w:rPr>
          <w:rFonts w:hint="eastAsia" w:ascii="Times New Roman" w:hAnsi="Times New Roman"/>
          <w:b/>
          <w:bCs/>
          <w:color w:val="auto"/>
          <w:sz w:val="30"/>
          <w:szCs w:val="30"/>
          <w:lang w:val="en-US" w:eastAsia="zh-CN"/>
        </w:rPr>
        <w:t>2</w:t>
      </w:r>
      <w:r>
        <w:rPr>
          <w:rFonts w:hint="eastAsia" w:ascii="Times New Roman"/>
          <w:b/>
          <w:bCs/>
          <w:color w:val="auto"/>
          <w:sz w:val="30"/>
          <w:szCs w:val="30"/>
          <w:lang w:val="en-US" w:eastAsia="zh-CN"/>
        </w:rPr>
        <w:t xml:space="preserve"> </w:t>
      </w:r>
      <w:r>
        <w:rPr>
          <w:rFonts w:ascii="Times New Roman"/>
          <w:b/>
          <w:bCs/>
          <w:color w:val="auto"/>
          <w:sz w:val="30"/>
          <w:szCs w:val="30"/>
        </w:rPr>
        <w:t>编制依据</w:t>
      </w:r>
      <w:bookmarkEnd w:id="20"/>
    </w:p>
    <w:p>
      <w:pPr>
        <w:snapToGrid w:val="0"/>
        <w:spacing w:line="360" w:lineRule="auto"/>
        <w:outlineLvl w:val="2"/>
        <w:rPr>
          <w:rFonts w:ascii="Times New Roman" w:hAnsi="Times New Roman" w:eastAsia="仿宋" w:cs="Times New Roman"/>
          <w:b/>
          <w:bCs/>
          <w:color w:val="auto"/>
          <w:sz w:val="28"/>
          <w:szCs w:val="28"/>
        </w:rPr>
      </w:pPr>
      <w:bookmarkStart w:id="21" w:name="_Toc24784"/>
      <w:r>
        <w:rPr>
          <w:rFonts w:ascii="Times New Roman" w:hAnsi="Times New Roman" w:eastAsia="仿宋" w:cs="Times New Roman"/>
          <w:b/>
          <w:bCs/>
          <w:color w:val="auto"/>
          <w:sz w:val="28"/>
          <w:szCs w:val="28"/>
        </w:rPr>
        <w:t>2.</w:t>
      </w:r>
      <w:r>
        <w:rPr>
          <w:rFonts w:hint="eastAsia" w:ascii="Times New Roman" w:hAnsi="Times New Roman" w:eastAsia="仿宋" w:cs="Times New Roman"/>
          <w:b/>
          <w:bCs/>
          <w:color w:val="auto"/>
          <w:sz w:val="28"/>
          <w:szCs w:val="28"/>
          <w:lang w:val="en-US" w:eastAsia="zh-CN"/>
        </w:rPr>
        <w:t>2</w:t>
      </w:r>
      <w:r>
        <w:rPr>
          <w:rFonts w:ascii="Times New Roman" w:hAnsi="Times New Roman" w:eastAsia="仿宋" w:cs="Times New Roman"/>
          <w:b/>
          <w:bCs/>
          <w:color w:val="auto"/>
          <w:sz w:val="28"/>
          <w:szCs w:val="28"/>
        </w:rPr>
        <w:t>.1</w:t>
      </w:r>
      <w:r>
        <w:rPr>
          <w:rFonts w:hint="eastAsia" w:ascii="Times New Roman" w:hAnsi="Times New Roman" w:eastAsia="仿宋" w:cs="Times New Roman"/>
          <w:b/>
          <w:bCs/>
          <w:color w:val="auto"/>
          <w:sz w:val="28"/>
          <w:szCs w:val="28"/>
          <w:lang w:val="en-US" w:eastAsia="zh-CN"/>
        </w:rPr>
        <w:t xml:space="preserve"> </w:t>
      </w:r>
      <w:r>
        <w:rPr>
          <w:rFonts w:ascii="Times New Roman" w:hAnsi="Times New Roman" w:eastAsia="仿宋" w:cs="Times New Roman"/>
          <w:b/>
          <w:bCs/>
          <w:color w:val="auto"/>
          <w:sz w:val="28"/>
          <w:szCs w:val="28"/>
        </w:rPr>
        <w:t>法律法规</w:t>
      </w:r>
      <w:bookmarkEnd w:id="21"/>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1</w:t>
      </w:r>
      <w:r>
        <w:rPr>
          <w:rFonts w:ascii="Times New Roman" w:hAnsi="仿宋" w:eastAsia="仿宋" w:cs="Times New Roman"/>
          <w:color w:val="auto"/>
          <w:sz w:val="28"/>
          <w:szCs w:val="28"/>
        </w:rPr>
        <w:t>、《中华人民共和国环境保护法》（</w:t>
      </w:r>
      <w:r>
        <w:rPr>
          <w:rFonts w:ascii="Times New Roman" w:hAnsi="Times New Roman" w:eastAsia="仿宋" w:cs="Times New Roman"/>
          <w:color w:val="auto"/>
          <w:sz w:val="28"/>
          <w:szCs w:val="28"/>
        </w:rPr>
        <w:t xml:space="preserve">2015.1.1 </w:t>
      </w:r>
      <w:r>
        <w:rPr>
          <w:rFonts w:ascii="Times New Roman" w:hAnsi="仿宋" w:eastAsia="仿宋" w:cs="Times New Roman"/>
          <w:color w:val="auto"/>
          <w:sz w:val="28"/>
          <w:szCs w:val="28"/>
        </w:rPr>
        <w:t>起施行）；</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2</w:t>
      </w:r>
      <w:r>
        <w:rPr>
          <w:rFonts w:ascii="Times New Roman" w:hAnsi="仿宋" w:eastAsia="仿宋" w:cs="Times New Roman"/>
          <w:color w:val="auto"/>
          <w:sz w:val="28"/>
          <w:szCs w:val="28"/>
        </w:rPr>
        <w:t>、《中华人民共和国水污染防治法》（</w:t>
      </w:r>
      <w:r>
        <w:rPr>
          <w:rFonts w:ascii="Times New Roman" w:hAnsi="Times New Roman" w:eastAsia="仿宋" w:cs="Times New Roman"/>
          <w:color w:val="auto"/>
          <w:sz w:val="28"/>
          <w:szCs w:val="28"/>
        </w:rPr>
        <w:t xml:space="preserve">2018.1.1 </w:t>
      </w:r>
      <w:r>
        <w:rPr>
          <w:rFonts w:ascii="Times New Roman" w:hAnsi="仿宋" w:eastAsia="仿宋" w:cs="Times New Roman"/>
          <w:color w:val="auto"/>
          <w:sz w:val="28"/>
          <w:szCs w:val="28"/>
        </w:rPr>
        <w:t>起施行）；</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3</w:t>
      </w:r>
      <w:r>
        <w:rPr>
          <w:rFonts w:ascii="Times New Roman" w:hAnsi="仿宋" w:eastAsia="仿宋" w:cs="Times New Roman"/>
          <w:color w:val="auto"/>
          <w:sz w:val="28"/>
          <w:szCs w:val="28"/>
        </w:rPr>
        <w:t>、《中华人民共和国大气污染防治法》（</w:t>
      </w:r>
      <w:r>
        <w:rPr>
          <w:rFonts w:ascii="Times New Roman" w:hAnsi="Times New Roman" w:eastAsia="仿宋" w:cs="Times New Roman"/>
          <w:color w:val="auto"/>
          <w:sz w:val="28"/>
          <w:szCs w:val="28"/>
        </w:rPr>
        <w:t>2018</w:t>
      </w:r>
      <w:r>
        <w:rPr>
          <w:rFonts w:ascii="Times New Roman" w:hAnsi="仿宋" w:eastAsia="仿宋" w:cs="Times New Roman"/>
          <w:color w:val="auto"/>
          <w:sz w:val="28"/>
          <w:szCs w:val="28"/>
        </w:rPr>
        <w:t>年</w:t>
      </w:r>
      <w:r>
        <w:rPr>
          <w:rFonts w:ascii="Times New Roman" w:hAnsi="Times New Roman" w:eastAsia="仿宋" w:cs="Times New Roman"/>
          <w:color w:val="auto"/>
          <w:sz w:val="28"/>
          <w:szCs w:val="28"/>
        </w:rPr>
        <w:t>10</w:t>
      </w:r>
      <w:r>
        <w:rPr>
          <w:rFonts w:ascii="Times New Roman" w:hAnsi="仿宋" w:eastAsia="仿宋" w:cs="Times New Roman"/>
          <w:color w:val="auto"/>
          <w:sz w:val="28"/>
          <w:szCs w:val="28"/>
        </w:rPr>
        <w:t>月</w:t>
      </w:r>
      <w:r>
        <w:rPr>
          <w:rFonts w:ascii="Times New Roman" w:hAnsi="Times New Roman" w:eastAsia="仿宋" w:cs="Times New Roman"/>
          <w:color w:val="auto"/>
          <w:sz w:val="28"/>
          <w:szCs w:val="28"/>
        </w:rPr>
        <w:t>26</w:t>
      </w:r>
      <w:r>
        <w:rPr>
          <w:rFonts w:ascii="Times New Roman" w:hAnsi="仿宋" w:eastAsia="仿宋" w:cs="Times New Roman"/>
          <w:color w:val="auto"/>
          <w:sz w:val="28"/>
          <w:szCs w:val="28"/>
        </w:rPr>
        <w:t>日修订并实行）；</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4</w:t>
      </w:r>
      <w:r>
        <w:rPr>
          <w:rFonts w:ascii="Times New Roman" w:hAnsi="仿宋" w:eastAsia="仿宋" w:cs="Times New Roman"/>
          <w:color w:val="auto"/>
          <w:sz w:val="28"/>
          <w:szCs w:val="28"/>
        </w:rPr>
        <w:t>、《中华人民共和国固体废物污染环境防治法》（</w:t>
      </w:r>
      <w:r>
        <w:rPr>
          <w:rFonts w:ascii="Times New Roman" w:hAnsi="Times New Roman" w:eastAsia="仿宋" w:cs="Times New Roman"/>
          <w:color w:val="auto"/>
          <w:sz w:val="28"/>
          <w:szCs w:val="28"/>
        </w:rPr>
        <w:t>2016</w:t>
      </w:r>
      <w:r>
        <w:rPr>
          <w:rFonts w:ascii="Times New Roman" w:hAnsi="仿宋" w:eastAsia="仿宋" w:cs="Times New Roman"/>
          <w:color w:val="auto"/>
          <w:sz w:val="28"/>
          <w:szCs w:val="28"/>
        </w:rPr>
        <w:t>年</w:t>
      </w:r>
      <w:r>
        <w:rPr>
          <w:rFonts w:ascii="Times New Roman" w:hAnsi="Times New Roman" w:eastAsia="仿宋" w:cs="Times New Roman"/>
          <w:color w:val="auto"/>
          <w:sz w:val="28"/>
          <w:szCs w:val="28"/>
        </w:rPr>
        <w:t>11</w:t>
      </w:r>
      <w:r>
        <w:rPr>
          <w:rFonts w:ascii="Times New Roman" w:hAnsi="仿宋" w:eastAsia="仿宋" w:cs="Times New Roman"/>
          <w:color w:val="auto"/>
          <w:sz w:val="28"/>
          <w:szCs w:val="28"/>
        </w:rPr>
        <w:t>月</w:t>
      </w:r>
      <w:r>
        <w:rPr>
          <w:rFonts w:ascii="Times New Roman" w:hAnsi="Times New Roman" w:eastAsia="仿宋" w:cs="Times New Roman"/>
          <w:color w:val="auto"/>
          <w:sz w:val="28"/>
          <w:szCs w:val="28"/>
        </w:rPr>
        <w:t>7</w:t>
      </w:r>
      <w:r>
        <w:rPr>
          <w:rFonts w:ascii="Times New Roman" w:hAnsi="仿宋" w:eastAsia="仿宋" w:cs="Times New Roman"/>
          <w:color w:val="auto"/>
          <w:sz w:val="28"/>
          <w:szCs w:val="28"/>
        </w:rPr>
        <w:t>日修订并实施）；</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5</w:t>
      </w:r>
      <w:r>
        <w:rPr>
          <w:rFonts w:ascii="Times New Roman" w:hAnsi="仿宋" w:eastAsia="仿宋" w:cs="Times New Roman"/>
          <w:color w:val="auto"/>
          <w:sz w:val="28"/>
          <w:szCs w:val="28"/>
        </w:rPr>
        <w:t>、《中华人民共和国安全生产法》（</w:t>
      </w:r>
      <w:r>
        <w:rPr>
          <w:rFonts w:ascii="Times New Roman" w:hAnsi="Times New Roman" w:eastAsia="仿宋" w:cs="Times New Roman"/>
          <w:color w:val="auto"/>
          <w:sz w:val="28"/>
          <w:szCs w:val="28"/>
        </w:rPr>
        <w:t xml:space="preserve">2014.12.1 </w:t>
      </w:r>
      <w:r>
        <w:rPr>
          <w:rFonts w:ascii="Times New Roman" w:hAnsi="仿宋" w:eastAsia="仿宋" w:cs="Times New Roman"/>
          <w:color w:val="auto"/>
          <w:sz w:val="28"/>
          <w:szCs w:val="28"/>
        </w:rPr>
        <w:t>起施行）；</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6</w:t>
      </w:r>
      <w:r>
        <w:rPr>
          <w:rFonts w:ascii="Times New Roman" w:hAnsi="仿宋" w:eastAsia="仿宋" w:cs="Times New Roman"/>
          <w:color w:val="auto"/>
          <w:sz w:val="28"/>
          <w:szCs w:val="28"/>
        </w:rPr>
        <w:t>、《中华人民共和国消防法》（</w:t>
      </w:r>
      <w:r>
        <w:rPr>
          <w:rFonts w:ascii="Times New Roman" w:hAnsi="Times New Roman" w:eastAsia="仿宋" w:cs="Times New Roman"/>
          <w:color w:val="auto"/>
          <w:sz w:val="28"/>
          <w:szCs w:val="28"/>
        </w:rPr>
        <w:t xml:space="preserve">2009.5.1 </w:t>
      </w:r>
      <w:r>
        <w:rPr>
          <w:rFonts w:ascii="Times New Roman" w:hAnsi="仿宋" w:eastAsia="仿宋" w:cs="Times New Roman"/>
          <w:color w:val="auto"/>
          <w:sz w:val="28"/>
          <w:szCs w:val="28"/>
        </w:rPr>
        <w:t>起施行）</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7</w:t>
      </w:r>
      <w:r>
        <w:rPr>
          <w:rFonts w:ascii="Times New Roman" w:hAnsi="仿宋" w:eastAsia="仿宋" w:cs="Times New Roman"/>
          <w:color w:val="auto"/>
          <w:sz w:val="28"/>
          <w:szCs w:val="28"/>
        </w:rPr>
        <w:t>、《中华人民共和国突发事件应对法》（</w:t>
      </w:r>
      <w:r>
        <w:rPr>
          <w:rFonts w:ascii="Times New Roman" w:hAnsi="Times New Roman" w:eastAsia="仿宋" w:cs="Times New Roman"/>
          <w:color w:val="auto"/>
          <w:sz w:val="28"/>
          <w:szCs w:val="28"/>
        </w:rPr>
        <w:t xml:space="preserve">2007.11.1 </w:t>
      </w:r>
      <w:r>
        <w:rPr>
          <w:rFonts w:ascii="Times New Roman" w:hAnsi="仿宋" w:eastAsia="仿宋" w:cs="Times New Roman"/>
          <w:color w:val="auto"/>
          <w:sz w:val="28"/>
          <w:szCs w:val="28"/>
        </w:rPr>
        <w:t>起施行）；</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8</w:t>
      </w:r>
      <w:r>
        <w:rPr>
          <w:rFonts w:ascii="Times New Roman" w:hAnsi="仿宋" w:eastAsia="仿宋" w:cs="Times New Roman"/>
          <w:color w:val="auto"/>
          <w:sz w:val="28"/>
          <w:szCs w:val="28"/>
        </w:rPr>
        <w:t>、《突发环境事件调查处理办法》（环境保护部令第</w:t>
      </w:r>
      <w:r>
        <w:rPr>
          <w:rFonts w:ascii="Times New Roman" w:hAnsi="Times New Roman" w:eastAsia="仿宋" w:cs="Times New Roman"/>
          <w:color w:val="auto"/>
          <w:sz w:val="28"/>
          <w:szCs w:val="28"/>
        </w:rPr>
        <w:t>32</w:t>
      </w:r>
      <w:r>
        <w:rPr>
          <w:rFonts w:ascii="Times New Roman" w:hAnsi="仿宋" w:eastAsia="仿宋" w:cs="Times New Roman"/>
          <w:color w:val="auto"/>
          <w:sz w:val="28"/>
          <w:szCs w:val="28"/>
        </w:rPr>
        <w:t>号）</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9</w:t>
      </w:r>
      <w:r>
        <w:rPr>
          <w:rFonts w:ascii="Times New Roman" w:hAnsi="仿宋" w:eastAsia="仿宋" w:cs="Times New Roman"/>
          <w:color w:val="auto"/>
          <w:sz w:val="28"/>
          <w:szCs w:val="28"/>
        </w:rPr>
        <w:t>、《突发环境事件信息报告办法》</w:t>
      </w:r>
      <w:r>
        <w:rPr>
          <w:rFonts w:ascii="Times New Roman" w:hAnsi="Times New Roman" w:eastAsia="仿宋" w:cs="Times New Roman"/>
          <w:color w:val="auto"/>
          <w:sz w:val="28"/>
          <w:szCs w:val="28"/>
        </w:rPr>
        <w:t>(</w:t>
      </w:r>
      <w:r>
        <w:rPr>
          <w:rFonts w:ascii="Times New Roman" w:hAnsi="仿宋" w:eastAsia="仿宋" w:cs="Times New Roman"/>
          <w:color w:val="auto"/>
          <w:sz w:val="28"/>
          <w:szCs w:val="28"/>
        </w:rPr>
        <w:t>环境保护部令第</w:t>
      </w:r>
      <w:r>
        <w:rPr>
          <w:rFonts w:ascii="Times New Roman" w:hAnsi="Times New Roman" w:eastAsia="仿宋" w:cs="Times New Roman"/>
          <w:color w:val="auto"/>
          <w:sz w:val="28"/>
          <w:szCs w:val="28"/>
        </w:rPr>
        <w:t xml:space="preserve"> 17 </w:t>
      </w:r>
      <w:r>
        <w:rPr>
          <w:rFonts w:ascii="Times New Roman" w:hAnsi="仿宋" w:eastAsia="仿宋" w:cs="Times New Roman"/>
          <w:color w:val="auto"/>
          <w:sz w:val="28"/>
          <w:szCs w:val="28"/>
        </w:rPr>
        <w:t>号</w:t>
      </w:r>
      <w:r>
        <w:rPr>
          <w:rFonts w:ascii="Times New Roman" w:hAnsi="Times New Roman" w:eastAsia="仿宋" w:cs="Times New Roman"/>
          <w:color w:val="auto"/>
          <w:sz w:val="28"/>
          <w:szCs w:val="28"/>
        </w:rPr>
        <w:t>)</w:t>
      </w:r>
      <w:r>
        <w:rPr>
          <w:rFonts w:ascii="Times New Roman" w:hAnsi="仿宋" w:eastAsia="仿宋" w:cs="Times New Roman"/>
          <w:color w:val="auto"/>
          <w:sz w:val="28"/>
          <w:szCs w:val="28"/>
        </w:rPr>
        <w:t>；</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10</w:t>
      </w:r>
      <w:r>
        <w:rPr>
          <w:rFonts w:ascii="Times New Roman" w:hAnsi="仿宋" w:eastAsia="仿宋" w:cs="Times New Roman"/>
          <w:color w:val="auto"/>
          <w:sz w:val="28"/>
          <w:szCs w:val="28"/>
        </w:rPr>
        <w:t>、《企业事业单位突发环境事件应急预案备案管理办法（试行）》</w:t>
      </w:r>
      <w:r>
        <w:rPr>
          <w:rFonts w:ascii="Times New Roman" w:hAnsi="Times New Roman" w:eastAsia="仿宋" w:cs="Times New Roman"/>
          <w:color w:val="auto"/>
          <w:sz w:val="28"/>
          <w:szCs w:val="28"/>
        </w:rPr>
        <w:t xml:space="preserve"> (</w:t>
      </w:r>
      <w:r>
        <w:rPr>
          <w:rFonts w:ascii="Times New Roman" w:hAnsi="仿宋" w:eastAsia="仿宋" w:cs="Times New Roman"/>
          <w:color w:val="auto"/>
          <w:sz w:val="28"/>
          <w:szCs w:val="28"/>
        </w:rPr>
        <w:t>环发</w:t>
      </w:r>
      <w:r>
        <w:rPr>
          <w:rFonts w:ascii="Times New Roman" w:hAnsi="Times New Roman" w:eastAsia="仿宋" w:cs="Times New Roman"/>
          <w:color w:val="auto"/>
          <w:sz w:val="28"/>
          <w:szCs w:val="28"/>
        </w:rPr>
        <w:t>[2015]4</w:t>
      </w:r>
      <w:r>
        <w:rPr>
          <w:rFonts w:ascii="Times New Roman" w:hAnsi="仿宋" w:eastAsia="仿宋" w:cs="Times New Roman"/>
          <w:color w:val="auto"/>
          <w:sz w:val="28"/>
          <w:szCs w:val="28"/>
        </w:rPr>
        <w:t>号</w:t>
      </w:r>
      <w:r>
        <w:rPr>
          <w:rFonts w:ascii="Times New Roman" w:hAnsi="Times New Roman" w:eastAsia="仿宋" w:cs="Times New Roman"/>
          <w:color w:val="auto"/>
          <w:sz w:val="28"/>
          <w:szCs w:val="28"/>
        </w:rPr>
        <w:t>)</w:t>
      </w:r>
      <w:r>
        <w:rPr>
          <w:rFonts w:ascii="Times New Roman" w:hAnsi="仿宋" w:eastAsia="仿宋" w:cs="Times New Roman"/>
          <w:color w:val="auto"/>
          <w:sz w:val="28"/>
          <w:szCs w:val="28"/>
        </w:rPr>
        <w:t>；</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11</w:t>
      </w:r>
      <w:r>
        <w:rPr>
          <w:rFonts w:ascii="Times New Roman" w:hAnsi="仿宋" w:eastAsia="仿宋" w:cs="Times New Roman"/>
          <w:color w:val="auto"/>
          <w:sz w:val="28"/>
          <w:szCs w:val="28"/>
        </w:rPr>
        <w:t>、《国务院关于全面加强应急管理工作的意见》（国发</w:t>
      </w:r>
      <w:r>
        <w:rPr>
          <w:rFonts w:ascii="Times New Roman" w:hAnsi="Times New Roman" w:eastAsia="仿宋" w:cs="Times New Roman"/>
          <w:color w:val="auto"/>
          <w:sz w:val="28"/>
          <w:szCs w:val="28"/>
        </w:rPr>
        <w:t xml:space="preserve">[2006]24 </w:t>
      </w:r>
      <w:r>
        <w:rPr>
          <w:rFonts w:ascii="Times New Roman" w:hAnsi="仿宋" w:eastAsia="仿宋" w:cs="Times New Roman"/>
          <w:color w:val="auto"/>
          <w:sz w:val="28"/>
          <w:szCs w:val="28"/>
        </w:rPr>
        <w:t>号）；</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12</w:t>
      </w:r>
      <w:r>
        <w:rPr>
          <w:rFonts w:ascii="Times New Roman" w:hAnsi="仿宋" w:eastAsia="仿宋" w:cs="Times New Roman"/>
          <w:color w:val="auto"/>
          <w:sz w:val="28"/>
          <w:szCs w:val="28"/>
        </w:rPr>
        <w:t>、《国务院办公厅关于加强基层应急管理工作的意见》（国办发</w:t>
      </w:r>
      <w:r>
        <w:rPr>
          <w:rFonts w:ascii="Times New Roman" w:hAnsi="Times New Roman" w:eastAsia="仿宋" w:cs="Times New Roman"/>
          <w:color w:val="auto"/>
          <w:sz w:val="28"/>
          <w:szCs w:val="28"/>
        </w:rPr>
        <w:t>[2007]52</w:t>
      </w:r>
      <w:r>
        <w:rPr>
          <w:rFonts w:ascii="Times New Roman" w:hAnsi="仿宋" w:eastAsia="仿宋" w:cs="Times New Roman"/>
          <w:color w:val="auto"/>
          <w:sz w:val="28"/>
          <w:szCs w:val="28"/>
        </w:rPr>
        <w:t>号）；</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13</w:t>
      </w:r>
      <w:r>
        <w:rPr>
          <w:rFonts w:ascii="Times New Roman" w:hAnsi="仿宋" w:eastAsia="仿宋" w:cs="Times New Roman"/>
          <w:color w:val="auto"/>
          <w:sz w:val="28"/>
          <w:szCs w:val="28"/>
        </w:rPr>
        <w:t>、《省政府办公厅关于切实加强基层应急队伍建设的意见》（苏政办发</w:t>
      </w:r>
      <w:r>
        <w:rPr>
          <w:rFonts w:ascii="Times New Roman" w:hAnsi="Times New Roman" w:eastAsia="仿宋" w:cs="Times New Roman"/>
          <w:color w:val="auto"/>
          <w:sz w:val="28"/>
          <w:szCs w:val="28"/>
        </w:rPr>
        <w:t>[2010]3</w:t>
      </w:r>
      <w:r>
        <w:rPr>
          <w:rFonts w:ascii="Times New Roman" w:hAnsi="仿宋" w:eastAsia="仿宋" w:cs="Times New Roman"/>
          <w:color w:val="auto"/>
          <w:sz w:val="28"/>
          <w:szCs w:val="28"/>
        </w:rPr>
        <w:t>号）；</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14</w:t>
      </w:r>
      <w:r>
        <w:rPr>
          <w:rFonts w:ascii="Times New Roman" w:hAnsi="仿宋" w:eastAsia="仿宋" w:cs="Times New Roman"/>
          <w:color w:val="auto"/>
          <w:sz w:val="28"/>
          <w:szCs w:val="28"/>
        </w:rPr>
        <w:t>、《生产安全事故应急预案管理办法》（安监总局令</w:t>
      </w:r>
      <w:r>
        <w:rPr>
          <w:rFonts w:ascii="Times New Roman" w:hAnsi="Times New Roman" w:eastAsia="仿宋" w:cs="Times New Roman"/>
          <w:color w:val="auto"/>
          <w:sz w:val="28"/>
          <w:szCs w:val="28"/>
        </w:rPr>
        <w:t>17</w:t>
      </w:r>
      <w:r>
        <w:rPr>
          <w:rFonts w:ascii="Times New Roman" w:hAnsi="仿宋" w:eastAsia="仿宋" w:cs="Times New Roman"/>
          <w:color w:val="auto"/>
          <w:sz w:val="28"/>
          <w:szCs w:val="28"/>
        </w:rPr>
        <w:t>号，</w:t>
      </w:r>
      <w:r>
        <w:rPr>
          <w:rFonts w:ascii="Times New Roman" w:hAnsi="Times New Roman" w:eastAsia="仿宋" w:cs="Times New Roman"/>
          <w:color w:val="auto"/>
          <w:sz w:val="28"/>
          <w:szCs w:val="28"/>
        </w:rPr>
        <w:t>2009.5.1</w:t>
      </w:r>
      <w:r>
        <w:rPr>
          <w:rFonts w:ascii="Times New Roman" w:hAnsi="仿宋" w:eastAsia="仿宋" w:cs="Times New Roman"/>
          <w:color w:val="auto"/>
          <w:sz w:val="28"/>
          <w:szCs w:val="28"/>
        </w:rPr>
        <w:t>起施行）；</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15</w:t>
      </w:r>
      <w:r>
        <w:rPr>
          <w:rFonts w:ascii="Times New Roman" w:hAnsi="仿宋" w:eastAsia="仿宋" w:cs="Times New Roman"/>
          <w:color w:val="auto"/>
          <w:sz w:val="28"/>
          <w:szCs w:val="28"/>
        </w:rPr>
        <w:t>、《省政府办公厅关于印发江苏省突发事件应急预案管理办法的通知》（苏政办发</w:t>
      </w:r>
      <w:r>
        <w:rPr>
          <w:rFonts w:ascii="Times New Roman" w:hAnsi="Times New Roman" w:eastAsia="仿宋" w:cs="Times New Roman"/>
          <w:color w:val="auto"/>
          <w:sz w:val="28"/>
          <w:szCs w:val="28"/>
        </w:rPr>
        <w:t>[2012]153</w:t>
      </w:r>
      <w:r>
        <w:rPr>
          <w:rFonts w:ascii="Times New Roman" w:hAnsi="仿宋" w:eastAsia="仿宋" w:cs="Times New Roman"/>
          <w:color w:val="auto"/>
          <w:sz w:val="28"/>
          <w:szCs w:val="28"/>
        </w:rPr>
        <w:t>号）；</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16</w:t>
      </w:r>
      <w:r>
        <w:rPr>
          <w:rFonts w:ascii="Times New Roman" w:hAnsi="仿宋" w:eastAsia="仿宋" w:cs="Times New Roman"/>
          <w:color w:val="auto"/>
          <w:sz w:val="28"/>
          <w:szCs w:val="28"/>
        </w:rPr>
        <w:t>、《江苏省大气污染防治条例》</w:t>
      </w:r>
      <w:r>
        <w:rPr>
          <w:rFonts w:ascii="Times New Roman" w:hAnsi="Times New Roman" w:eastAsia="仿宋" w:cs="Times New Roman"/>
          <w:color w:val="auto"/>
          <w:sz w:val="28"/>
          <w:szCs w:val="28"/>
        </w:rPr>
        <w:t xml:space="preserve"> (2018</w:t>
      </w:r>
      <w:r>
        <w:rPr>
          <w:rFonts w:ascii="Times New Roman" w:hAnsi="仿宋" w:eastAsia="仿宋" w:cs="Times New Roman"/>
          <w:color w:val="auto"/>
          <w:sz w:val="28"/>
          <w:szCs w:val="28"/>
        </w:rPr>
        <w:t>年</w:t>
      </w:r>
      <w:r>
        <w:rPr>
          <w:rFonts w:ascii="Times New Roman" w:hAnsi="Times New Roman" w:eastAsia="仿宋" w:cs="Times New Roman"/>
          <w:color w:val="auto"/>
          <w:sz w:val="28"/>
          <w:szCs w:val="28"/>
        </w:rPr>
        <w:t>3</w:t>
      </w:r>
      <w:r>
        <w:rPr>
          <w:rFonts w:ascii="Times New Roman" w:hAnsi="仿宋" w:eastAsia="仿宋" w:cs="Times New Roman"/>
          <w:color w:val="auto"/>
          <w:sz w:val="28"/>
          <w:szCs w:val="28"/>
        </w:rPr>
        <w:t>月</w:t>
      </w:r>
      <w:r>
        <w:rPr>
          <w:rFonts w:ascii="Times New Roman" w:hAnsi="Times New Roman" w:eastAsia="仿宋" w:cs="Times New Roman"/>
          <w:color w:val="auto"/>
          <w:sz w:val="28"/>
          <w:szCs w:val="28"/>
        </w:rPr>
        <w:t>28</w:t>
      </w:r>
      <w:r>
        <w:rPr>
          <w:rFonts w:ascii="Times New Roman" w:hAnsi="仿宋" w:eastAsia="仿宋" w:cs="Times New Roman"/>
          <w:color w:val="auto"/>
          <w:sz w:val="28"/>
          <w:szCs w:val="28"/>
        </w:rPr>
        <w:t>日江苏省第十三届人民代表大会常务委员会第二次会议第一次修正</w:t>
      </w:r>
      <w:r>
        <w:rPr>
          <w:rFonts w:ascii="Times New Roman" w:hAnsi="Times New Roman" w:eastAsia="仿宋" w:cs="Times New Roman"/>
          <w:color w:val="auto"/>
          <w:sz w:val="28"/>
          <w:szCs w:val="28"/>
        </w:rPr>
        <w:t>)</w:t>
      </w:r>
      <w:r>
        <w:rPr>
          <w:rFonts w:ascii="Times New Roman" w:hAnsi="仿宋" w:eastAsia="仿宋" w:cs="Times New Roman"/>
          <w:color w:val="auto"/>
          <w:sz w:val="28"/>
          <w:szCs w:val="28"/>
        </w:rPr>
        <w:t>；</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17</w:t>
      </w:r>
      <w:r>
        <w:rPr>
          <w:rFonts w:ascii="Times New Roman" w:hAnsi="仿宋" w:eastAsia="仿宋" w:cs="Times New Roman"/>
          <w:color w:val="auto"/>
          <w:sz w:val="28"/>
          <w:szCs w:val="28"/>
        </w:rPr>
        <w:t>、《关于企业事业单位突发环境事件应急预案备案管理有关事项的通知》（苏环办</w:t>
      </w:r>
      <w:r>
        <w:rPr>
          <w:rFonts w:ascii="Times New Roman" w:hAnsi="Times New Roman" w:eastAsia="仿宋" w:cs="Times New Roman"/>
          <w:color w:val="auto"/>
          <w:sz w:val="28"/>
          <w:szCs w:val="28"/>
        </w:rPr>
        <w:t>[2015]224</w:t>
      </w:r>
      <w:r>
        <w:rPr>
          <w:rFonts w:ascii="Times New Roman" w:hAnsi="仿宋" w:eastAsia="仿宋" w:cs="Times New Roman"/>
          <w:color w:val="auto"/>
          <w:sz w:val="28"/>
          <w:szCs w:val="28"/>
        </w:rPr>
        <w:t>号）；</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18</w:t>
      </w:r>
      <w:r>
        <w:rPr>
          <w:rFonts w:ascii="Times New Roman" w:hAnsi="仿宋" w:eastAsia="仿宋" w:cs="Times New Roman"/>
          <w:color w:val="auto"/>
          <w:sz w:val="28"/>
          <w:szCs w:val="28"/>
        </w:rPr>
        <w:t>、</w:t>
      </w:r>
      <w:r>
        <w:rPr>
          <w:rFonts w:hint="eastAsia" w:ascii="Times New Roman" w:hAnsi="仿宋" w:eastAsia="仿宋" w:cs="Times New Roman"/>
          <w:color w:val="auto"/>
          <w:sz w:val="28"/>
          <w:szCs w:val="28"/>
          <w:lang w:eastAsia="zh-CN"/>
        </w:rPr>
        <w:t>《</w:t>
      </w:r>
      <w:r>
        <w:rPr>
          <w:rFonts w:ascii="Times New Roman" w:hAnsi="仿宋" w:eastAsia="仿宋" w:cs="Times New Roman"/>
          <w:color w:val="auto"/>
          <w:sz w:val="28"/>
          <w:szCs w:val="28"/>
        </w:rPr>
        <w:t>突发环境事件应急管理办法》（环境保护部令第</w:t>
      </w:r>
      <w:r>
        <w:rPr>
          <w:rFonts w:ascii="Times New Roman" w:hAnsi="Times New Roman" w:eastAsia="仿宋" w:cs="Times New Roman"/>
          <w:color w:val="auto"/>
          <w:sz w:val="28"/>
          <w:szCs w:val="28"/>
        </w:rPr>
        <w:t>34</w:t>
      </w:r>
      <w:r>
        <w:rPr>
          <w:rFonts w:ascii="Times New Roman" w:hAnsi="仿宋" w:eastAsia="仿宋" w:cs="Times New Roman"/>
          <w:color w:val="auto"/>
          <w:sz w:val="28"/>
          <w:szCs w:val="28"/>
        </w:rPr>
        <w:t>号）；</w:t>
      </w:r>
    </w:p>
    <w:p>
      <w:pPr>
        <w:snapToGrid w:val="0"/>
        <w:spacing w:before="50" w:after="50"/>
        <w:ind w:firstLine="560" w:firstLineChars="200"/>
        <w:rPr>
          <w:rFonts w:ascii="Times New Roman" w:hAnsi="仿宋" w:eastAsia="仿宋" w:cs="Times New Roman"/>
          <w:color w:val="auto"/>
          <w:sz w:val="28"/>
          <w:szCs w:val="28"/>
        </w:rPr>
      </w:pPr>
      <w:r>
        <w:rPr>
          <w:rFonts w:ascii="Times New Roman" w:hAnsi="Times New Roman" w:eastAsia="仿宋" w:cs="Times New Roman"/>
          <w:color w:val="auto"/>
          <w:sz w:val="28"/>
          <w:szCs w:val="28"/>
        </w:rPr>
        <w:t>19</w:t>
      </w:r>
      <w:r>
        <w:rPr>
          <w:rFonts w:ascii="Times New Roman" w:hAnsi="仿宋" w:eastAsia="仿宋" w:cs="Times New Roman"/>
          <w:color w:val="auto"/>
          <w:sz w:val="28"/>
          <w:szCs w:val="28"/>
        </w:rPr>
        <w:t>、《江苏省固体废物污染环境防治条例》（</w:t>
      </w:r>
      <w:r>
        <w:rPr>
          <w:rFonts w:ascii="Times New Roman" w:hAnsi="Times New Roman" w:eastAsia="仿宋" w:cs="Times New Roman"/>
          <w:color w:val="auto"/>
          <w:sz w:val="28"/>
          <w:szCs w:val="28"/>
        </w:rPr>
        <w:t>2018</w:t>
      </w:r>
      <w:r>
        <w:rPr>
          <w:rFonts w:ascii="Times New Roman" w:hAnsi="仿宋" w:eastAsia="仿宋" w:cs="Times New Roman"/>
          <w:color w:val="auto"/>
          <w:sz w:val="28"/>
          <w:szCs w:val="28"/>
        </w:rPr>
        <w:t>年</w:t>
      </w:r>
      <w:r>
        <w:rPr>
          <w:rFonts w:ascii="Times New Roman" w:hAnsi="Times New Roman" w:eastAsia="仿宋" w:cs="Times New Roman"/>
          <w:color w:val="auto"/>
          <w:sz w:val="28"/>
          <w:szCs w:val="28"/>
        </w:rPr>
        <w:t>3</w:t>
      </w:r>
      <w:r>
        <w:rPr>
          <w:rFonts w:ascii="Times New Roman" w:hAnsi="仿宋" w:eastAsia="仿宋" w:cs="Times New Roman"/>
          <w:color w:val="auto"/>
          <w:sz w:val="28"/>
          <w:szCs w:val="28"/>
        </w:rPr>
        <w:t>月</w:t>
      </w:r>
      <w:r>
        <w:rPr>
          <w:rFonts w:ascii="Times New Roman" w:hAnsi="Times New Roman" w:eastAsia="仿宋" w:cs="Times New Roman"/>
          <w:color w:val="auto"/>
          <w:sz w:val="28"/>
          <w:szCs w:val="28"/>
        </w:rPr>
        <w:t>28</w:t>
      </w:r>
      <w:r>
        <w:rPr>
          <w:rFonts w:ascii="Times New Roman" w:hAnsi="仿宋" w:eastAsia="仿宋" w:cs="Times New Roman"/>
          <w:color w:val="auto"/>
          <w:sz w:val="28"/>
          <w:szCs w:val="28"/>
        </w:rPr>
        <w:t>日江苏省第十三届人民代表大会常务委员会第三十次会议第二次修正）；</w:t>
      </w:r>
    </w:p>
    <w:p>
      <w:pPr>
        <w:snapToGrid w:val="0"/>
        <w:spacing w:beforeLines="50" w:afterLines="50"/>
        <w:outlineLvl w:val="2"/>
        <w:rPr>
          <w:rFonts w:ascii="Times New Roman" w:hAnsi="Times New Roman" w:eastAsia="仿宋" w:cs="Times New Roman"/>
          <w:b/>
          <w:bCs/>
          <w:color w:val="auto"/>
          <w:sz w:val="28"/>
          <w:szCs w:val="28"/>
        </w:rPr>
      </w:pPr>
      <w:bookmarkStart w:id="22" w:name="_Toc16491"/>
      <w:r>
        <w:rPr>
          <w:rFonts w:ascii="Times New Roman" w:hAnsi="Times New Roman" w:eastAsia="仿宋" w:cs="Times New Roman"/>
          <w:b/>
          <w:bCs/>
          <w:color w:val="auto"/>
          <w:sz w:val="28"/>
          <w:szCs w:val="28"/>
        </w:rPr>
        <w:t>2.</w:t>
      </w:r>
      <w:r>
        <w:rPr>
          <w:rFonts w:hint="eastAsia" w:ascii="Times New Roman" w:hAnsi="Times New Roman" w:eastAsia="仿宋" w:cs="Times New Roman"/>
          <w:b/>
          <w:bCs/>
          <w:color w:val="auto"/>
          <w:sz w:val="28"/>
          <w:szCs w:val="28"/>
          <w:lang w:val="en-US" w:eastAsia="zh-CN"/>
        </w:rPr>
        <w:t>2</w:t>
      </w:r>
      <w:r>
        <w:rPr>
          <w:rFonts w:ascii="Times New Roman" w:hAnsi="Times New Roman" w:eastAsia="仿宋" w:cs="Times New Roman"/>
          <w:b/>
          <w:bCs/>
          <w:color w:val="auto"/>
          <w:sz w:val="28"/>
          <w:szCs w:val="28"/>
        </w:rPr>
        <w:t>.2</w:t>
      </w:r>
      <w:r>
        <w:rPr>
          <w:rFonts w:ascii="Times New Roman" w:hAnsi="仿宋" w:eastAsia="仿宋" w:cs="Times New Roman"/>
          <w:b/>
          <w:bCs/>
          <w:color w:val="auto"/>
          <w:sz w:val="28"/>
          <w:szCs w:val="28"/>
        </w:rPr>
        <w:t>技术标准和规范</w:t>
      </w:r>
      <w:bookmarkEnd w:id="22"/>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1</w:t>
      </w:r>
      <w:r>
        <w:rPr>
          <w:rFonts w:ascii="Times New Roman" w:hAnsi="仿宋" w:eastAsia="仿宋" w:cs="Times New Roman"/>
          <w:color w:val="auto"/>
          <w:sz w:val="28"/>
          <w:szCs w:val="28"/>
        </w:rPr>
        <w:t>、《危险化学品重大危险源辨识》</w:t>
      </w:r>
      <w:r>
        <w:rPr>
          <w:rFonts w:ascii="Times New Roman" w:hAnsi="Times New Roman" w:eastAsia="仿宋" w:cs="Times New Roman"/>
          <w:color w:val="auto"/>
          <w:sz w:val="28"/>
          <w:szCs w:val="28"/>
        </w:rPr>
        <w:t>(GB 18218-2018</w:t>
      </w:r>
      <w:r>
        <w:rPr>
          <w:rFonts w:ascii="Times New Roman" w:hAnsi="仿宋" w:eastAsia="仿宋" w:cs="Times New Roman"/>
          <w:color w:val="auto"/>
          <w:sz w:val="28"/>
          <w:szCs w:val="28"/>
        </w:rPr>
        <w:t>，</w:t>
      </w:r>
      <w:r>
        <w:rPr>
          <w:rFonts w:ascii="Times New Roman" w:hAnsi="Times New Roman" w:eastAsia="仿宋" w:cs="Times New Roman"/>
          <w:color w:val="auto"/>
          <w:sz w:val="28"/>
          <w:szCs w:val="28"/>
        </w:rPr>
        <w:t>2019</w:t>
      </w:r>
      <w:r>
        <w:rPr>
          <w:rFonts w:ascii="Times New Roman" w:hAnsi="仿宋" w:eastAsia="仿宋" w:cs="Times New Roman"/>
          <w:color w:val="auto"/>
          <w:sz w:val="28"/>
          <w:szCs w:val="28"/>
        </w:rPr>
        <w:t>年</w:t>
      </w:r>
      <w:r>
        <w:rPr>
          <w:rFonts w:ascii="Times New Roman" w:hAnsi="Times New Roman" w:eastAsia="仿宋" w:cs="Times New Roman"/>
          <w:color w:val="auto"/>
          <w:sz w:val="28"/>
          <w:szCs w:val="28"/>
        </w:rPr>
        <w:t>3</w:t>
      </w:r>
      <w:r>
        <w:rPr>
          <w:rFonts w:ascii="Times New Roman" w:hAnsi="仿宋" w:eastAsia="仿宋" w:cs="Times New Roman"/>
          <w:color w:val="auto"/>
          <w:sz w:val="28"/>
          <w:szCs w:val="28"/>
        </w:rPr>
        <w:t>月</w:t>
      </w:r>
      <w:r>
        <w:rPr>
          <w:rFonts w:ascii="Times New Roman" w:hAnsi="Times New Roman" w:eastAsia="仿宋" w:cs="Times New Roman"/>
          <w:color w:val="auto"/>
          <w:sz w:val="28"/>
          <w:szCs w:val="28"/>
        </w:rPr>
        <w:t>1</w:t>
      </w:r>
      <w:r>
        <w:rPr>
          <w:rFonts w:ascii="Times New Roman" w:hAnsi="仿宋" w:eastAsia="仿宋" w:cs="Times New Roman"/>
          <w:color w:val="auto"/>
          <w:sz w:val="28"/>
          <w:szCs w:val="28"/>
        </w:rPr>
        <w:t>日实施</w:t>
      </w:r>
      <w:r>
        <w:rPr>
          <w:rFonts w:ascii="Times New Roman" w:hAnsi="Times New Roman" w:eastAsia="仿宋" w:cs="Times New Roman"/>
          <w:color w:val="auto"/>
          <w:sz w:val="28"/>
          <w:szCs w:val="28"/>
        </w:rPr>
        <w:t>)</w:t>
      </w:r>
      <w:r>
        <w:rPr>
          <w:rFonts w:ascii="Times New Roman" w:hAnsi="仿宋" w:eastAsia="仿宋" w:cs="Times New Roman"/>
          <w:color w:val="auto"/>
          <w:sz w:val="28"/>
          <w:szCs w:val="28"/>
        </w:rPr>
        <w:t>；</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2</w:t>
      </w:r>
      <w:r>
        <w:rPr>
          <w:rFonts w:ascii="Times New Roman" w:hAnsi="仿宋" w:eastAsia="仿宋" w:cs="Times New Roman"/>
          <w:color w:val="auto"/>
          <w:sz w:val="28"/>
          <w:szCs w:val="28"/>
        </w:rPr>
        <w:t>、《建设项目环境风险评价技术导则》</w:t>
      </w:r>
      <w:r>
        <w:rPr>
          <w:rFonts w:ascii="Times New Roman" w:hAnsi="Times New Roman" w:eastAsia="仿宋" w:cs="Times New Roman"/>
          <w:color w:val="auto"/>
          <w:sz w:val="28"/>
          <w:szCs w:val="28"/>
        </w:rPr>
        <w:t>(HJ/T 169-2018</w:t>
      </w:r>
      <w:r>
        <w:rPr>
          <w:rFonts w:ascii="Times New Roman" w:hAnsi="仿宋" w:eastAsia="仿宋" w:cs="Times New Roman"/>
          <w:color w:val="auto"/>
          <w:sz w:val="28"/>
          <w:szCs w:val="28"/>
        </w:rPr>
        <w:t>，</w:t>
      </w:r>
      <w:r>
        <w:rPr>
          <w:rFonts w:ascii="Times New Roman" w:hAnsi="Times New Roman" w:eastAsia="仿宋" w:cs="Times New Roman"/>
          <w:color w:val="auto"/>
          <w:sz w:val="28"/>
          <w:szCs w:val="28"/>
        </w:rPr>
        <w:t>2019</w:t>
      </w:r>
      <w:r>
        <w:rPr>
          <w:rFonts w:ascii="Times New Roman" w:hAnsi="仿宋" w:eastAsia="仿宋" w:cs="Times New Roman"/>
          <w:color w:val="auto"/>
          <w:sz w:val="28"/>
          <w:szCs w:val="28"/>
        </w:rPr>
        <w:t>年</w:t>
      </w:r>
      <w:r>
        <w:rPr>
          <w:rFonts w:ascii="Times New Roman" w:hAnsi="Times New Roman" w:eastAsia="仿宋" w:cs="Times New Roman"/>
          <w:color w:val="auto"/>
          <w:sz w:val="28"/>
          <w:szCs w:val="28"/>
        </w:rPr>
        <w:t>3</w:t>
      </w:r>
      <w:r>
        <w:rPr>
          <w:rFonts w:ascii="Times New Roman" w:hAnsi="仿宋" w:eastAsia="仿宋" w:cs="Times New Roman"/>
          <w:color w:val="auto"/>
          <w:sz w:val="28"/>
          <w:szCs w:val="28"/>
        </w:rPr>
        <w:t>月</w:t>
      </w:r>
      <w:r>
        <w:rPr>
          <w:rFonts w:ascii="Times New Roman" w:hAnsi="Times New Roman" w:eastAsia="仿宋" w:cs="Times New Roman"/>
          <w:color w:val="auto"/>
          <w:sz w:val="28"/>
          <w:szCs w:val="28"/>
        </w:rPr>
        <w:t>1</w:t>
      </w:r>
      <w:r>
        <w:rPr>
          <w:rFonts w:ascii="Times New Roman" w:hAnsi="仿宋" w:eastAsia="仿宋" w:cs="Times New Roman"/>
          <w:color w:val="auto"/>
          <w:sz w:val="28"/>
          <w:szCs w:val="28"/>
        </w:rPr>
        <w:t>日实施</w:t>
      </w:r>
      <w:r>
        <w:rPr>
          <w:rFonts w:ascii="Times New Roman" w:hAnsi="Times New Roman" w:eastAsia="仿宋" w:cs="Times New Roman"/>
          <w:color w:val="auto"/>
          <w:sz w:val="28"/>
          <w:szCs w:val="28"/>
        </w:rPr>
        <w:t>)</w:t>
      </w:r>
      <w:r>
        <w:rPr>
          <w:rFonts w:ascii="Times New Roman" w:hAnsi="仿宋" w:eastAsia="仿宋" w:cs="Times New Roman"/>
          <w:color w:val="auto"/>
          <w:sz w:val="28"/>
          <w:szCs w:val="28"/>
        </w:rPr>
        <w:t>；</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3</w:t>
      </w:r>
      <w:r>
        <w:rPr>
          <w:rFonts w:ascii="Times New Roman" w:hAnsi="仿宋" w:eastAsia="仿宋" w:cs="Times New Roman"/>
          <w:color w:val="auto"/>
          <w:sz w:val="28"/>
          <w:szCs w:val="28"/>
        </w:rPr>
        <w:t>、《工业企业设计卫生标准》（</w:t>
      </w:r>
      <w:r>
        <w:rPr>
          <w:rFonts w:ascii="Times New Roman" w:hAnsi="Times New Roman" w:eastAsia="仿宋" w:cs="Times New Roman"/>
          <w:color w:val="auto"/>
          <w:sz w:val="28"/>
          <w:szCs w:val="28"/>
        </w:rPr>
        <w:t>GBZ1-2010</w:t>
      </w:r>
      <w:r>
        <w:rPr>
          <w:rFonts w:ascii="Times New Roman" w:hAnsi="仿宋" w:eastAsia="仿宋" w:cs="Times New Roman"/>
          <w:color w:val="auto"/>
          <w:sz w:val="28"/>
          <w:szCs w:val="28"/>
        </w:rPr>
        <w:t>）；</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4</w:t>
      </w:r>
      <w:r>
        <w:rPr>
          <w:rFonts w:ascii="Times New Roman" w:hAnsi="仿宋" w:eastAsia="仿宋" w:cs="Times New Roman"/>
          <w:color w:val="auto"/>
          <w:sz w:val="28"/>
          <w:szCs w:val="28"/>
        </w:rPr>
        <w:t>、《建筑设计防火规范》</w:t>
      </w:r>
      <w:r>
        <w:rPr>
          <w:rFonts w:ascii="Times New Roman" w:hAnsi="Times New Roman" w:eastAsia="仿宋" w:cs="Times New Roman"/>
          <w:color w:val="auto"/>
          <w:sz w:val="28"/>
          <w:szCs w:val="28"/>
        </w:rPr>
        <w:t>(GB50016-2014)</w:t>
      </w:r>
      <w:r>
        <w:rPr>
          <w:rFonts w:ascii="Times New Roman" w:hAnsi="仿宋" w:eastAsia="仿宋" w:cs="Times New Roman"/>
          <w:color w:val="auto"/>
          <w:sz w:val="28"/>
          <w:szCs w:val="28"/>
        </w:rPr>
        <w:t>及关于发布国家标准《建筑设计防火规范》局部修订的公告（中华人民共和国住房和城乡建设部公告</w:t>
      </w:r>
      <w:r>
        <w:rPr>
          <w:rFonts w:ascii="Times New Roman" w:hAnsi="Times New Roman" w:eastAsia="仿宋" w:cs="Times New Roman"/>
          <w:color w:val="auto"/>
          <w:sz w:val="28"/>
          <w:szCs w:val="28"/>
        </w:rPr>
        <w:t>2018</w:t>
      </w:r>
      <w:r>
        <w:rPr>
          <w:rFonts w:ascii="Times New Roman" w:hAnsi="仿宋" w:eastAsia="仿宋" w:cs="Times New Roman"/>
          <w:color w:val="auto"/>
          <w:sz w:val="28"/>
          <w:szCs w:val="28"/>
        </w:rPr>
        <w:t>第</w:t>
      </w:r>
      <w:r>
        <w:rPr>
          <w:rFonts w:ascii="Times New Roman" w:hAnsi="Times New Roman" w:eastAsia="仿宋" w:cs="Times New Roman"/>
          <w:color w:val="auto"/>
          <w:sz w:val="28"/>
          <w:szCs w:val="28"/>
        </w:rPr>
        <w:t>35</w:t>
      </w:r>
      <w:r>
        <w:rPr>
          <w:rFonts w:ascii="Times New Roman" w:hAnsi="仿宋" w:eastAsia="仿宋" w:cs="Times New Roman"/>
          <w:color w:val="auto"/>
          <w:sz w:val="28"/>
          <w:szCs w:val="28"/>
        </w:rPr>
        <w:t>号）；</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5</w:t>
      </w:r>
      <w:r>
        <w:rPr>
          <w:rFonts w:ascii="Times New Roman" w:hAnsi="仿宋" w:eastAsia="仿宋" w:cs="Times New Roman"/>
          <w:color w:val="auto"/>
          <w:sz w:val="28"/>
          <w:szCs w:val="28"/>
        </w:rPr>
        <w:t>、《江苏省突发环境事件应急预案编制导则</w:t>
      </w:r>
      <w:r>
        <w:rPr>
          <w:rFonts w:ascii="Times New Roman" w:hAnsi="Times New Roman" w:eastAsia="仿宋" w:cs="Times New Roman"/>
          <w:color w:val="auto"/>
          <w:sz w:val="28"/>
          <w:szCs w:val="28"/>
        </w:rPr>
        <w:t>(</w:t>
      </w:r>
      <w:r>
        <w:rPr>
          <w:rFonts w:ascii="Times New Roman" w:hAnsi="仿宋" w:eastAsia="仿宋" w:cs="Times New Roman"/>
          <w:color w:val="auto"/>
          <w:sz w:val="28"/>
          <w:szCs w:val="28"/>
        </w:rPr>
        <w:t>试行</w:t>
      </w:r>
      <w:r>
        <w:rPr>
          <w:rFonts w:ascii="Times New Roman" w:hAnsi="Times New Roman" w:eastAsia="仿宋" w:cs="Times New Roman"/>
          <w:color w:val="auto"/>
          <w:sz w:val="28"/>
          <w:szCs w:val="28"/>
        </w:rPr>
        <w:t>)</w:t>
      </w:r>
      <w:r>
        <w:rPr>
          <w:rFonts w:ascii="Times New Roman" w:hAnsi="仿宋" w:eastAsia="仿宋" w:cs="Times New Roman"/>
          <w:color w:val="auto"/>
          <w:sz w:val="28"/>
          <w:szCs w:val="28"/>
        </w:rPr>
        <w:t>企事业单位版》</w:t>
      </w:r>
      <w:r>
        <w:rPr>
          <w:rFonts w:ascii="Times New Roman" w:hAnsi="Times New Roman" w:eastAsia="仿宋" w:cs="Times New Roman"/>
          <w:color w:val="auto"/>
          <w:sz w:val="28"/>
          <w:szCs w:val="28"/>
        </w:rPr>
        <w:t>(</w:t>
      </w:r>
      <w:r>
        <w:rPr>
          <w:rFonts w:ascii="Times New Roman" w:hAnsi="仿宋" w:eastAsia="仿宋" w:cs="Times New Roman"/>
          <w:color w:val="auto"/>
          <w:sz w:val="28"/>
          <w:szCs w:val="28"/>
        </w:rPr>
        <w:t>苏环办</w:t>
      </w:r>
      <w:r>
        <w:rPr>
          <w:rFonts w:ascii="Times New Roman" w:hAnsi="Times New Roman" w:eastAsia="仿宋" w:cs="Times New Roman"/>
          <w:color w:val="auto"/>
          <w:sz w:val="28"/>
          <w:szCs w:val="28"/>
        </w:rPr>
        <w:t>[2009]161</w:t>
      </w:r>
      <w:r>
        <w:rPr>
          <w:rFonts w:ascii="Times New Roman" w:hAnsi="仿宋" w:eastAsia="仿宋" w:cs="Times New Roman"/>
          <w:color w:val="auto"/>
          <w:sz w:val="28"/>
          <w:szCs w:val="28"/>
        </w:rPr>
        <w:t>号</w:t>
      </w:r>
      <w:r>
        <w:rPr>
          <w:rFonts w:ascii="Times New Roman" w:hAnsi="Times New Roman" w:eastAsia="仿宋" w:cs="Times New Roman"/>
          <w:color w:val="auto"/>
          <w:sz w:val="28"/>
          <w:szCs w:val="28"/>
        </w:rPr>
        <w:t>)</w:t>
      </w:r>
      <w:r>
        <w:rPr>
          <w:rFonts w:ascii="Times New Roman" w:hAnsi="仿宋" w:eastAsia="仿宋" w:cs="Times New Roman"/>
          <w:color w:val="auto"/>
          <w:sz w:val="28"/>
          <w:szCs w:val="28"/>
        </w:rPr>
        <w:t>；</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6</w:t>
      </w:r>
      <w:r>
        <w:rPr>
          <w:rFonts w:ascii="Times New Roman" w:hAnsi="仿宋" w:eastAsia="仿宋" w:cs="Times New Roman"/>
          <w:color w:val="auto"/>
          <w:sz w:val="28"/>
          <w:szCs w:val="28"/>
        </w:rPr>
        <w:t>、《企业突发环境事件风险分级方法》（</w:t>
      </w:r>
      <w:r>
        <w:rPr>
          <w:rFonts w:ascii="Times New Roman" w:hAnsi="Times New Roman" w:eastAsia="仿宋" w:cs="Times New Roman"/>
          <w:color w:val="auto"/>
          <w:sz w:val="28"/>
          <w:szCs w:val="28"/>
        </w:rPr>
        <w:t>HJ941-2018</w:t>
      </w:r>
      <w:r>
        <w:rPr>
          <w:rFonts w:ascii="Times New Roman" w:hAnsi="仿宋" w:eastAsia="仿宋" w:cs="Times New Roman"/>
          <w:color w:val="auto"/>
          <w:sz w:val="28"/>
          <w:szCs w:val="28"/>
        </w:rPr>
        <w:t>）；</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7</w:t>
      </w:r>
      <w:r>
        <w:rPr>
          <w:rFonts w:ascii="Times New Roman" w:hAnsi="仿宋" w:eastAsia="仿宋" w:cs="Times New Roman"/>
          <w:color w:val="auto"/>
          <w:sz w:val="28"/>
          <w:szCs w:val="28"/>
        </w:rPr>
        <w:t>、《危险化学品名录》</w:t>
      </w:r>
      <w:r>
        <w:rPr>
          <w:rFonts w:ascii="Times New Roman" w:hAnsi="Times New Roman" w:eastAsia="仿宋" w:cs="Times New Roman"/>
          <w:color w:val="auto"/>
          <w:sz w:val="28"/>
          <w:szCs w:val="28"/>
        </w:rPr>
        <w:t>(2016</w:t>
      </w:r>
      <w:r>
        <w:rPr>
          <w:rFonts w:ascii="Times New Roman" w:hAnsi="仿宋" w:eastAsia="仿宋" w:cs="Times New Roman"/>
          <w:color w:val="auto"/>
          <w:sz w:val="28"/>
          <w:szCs w:val="28"/>
        </w:rPr>
        <w:t>年版</w:t>
      </w:r>
      <w:r>
        <w:rPr>
          <w:rFonts w:ascii="Times New Roman" w:hAnsi="Times New Roman" w:eastAsia="仿宋" w:cs="Times New Roman"/>
          <w:color w:val="auto"/>
          <w:sz w:val="28"/>
          <w:szCs w:val="28"/>
        </w:rPr>
        <w:t>)</w:t>
      </w:r>
      <w:r>
        <w:rPr>
          <w:rFonts w:ascii="Times New Roman" w:hAnsi="仿宋" w:eastAsia="仿宋" w:cs="Times New Roman"/>
          <w:color w:val="auto"/>
          <w:sz w:val="28"/>
          <w:szCs w:val="28"/>
        </w:rPr>
        <w:t>；</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8</w:t>
      </w:r>
      <w:r>
        <w:rPr>
          <w:rFonts w:ascii="Times New Roman" w:hAnsi="仿宋" w:eastAsia="仿宋" w:cs="Times New Roman"/>
          <w:color w:val="auto"/>
          <w:sz w:val="28"/>
          <w:szCs w:val="28"/>
        </w:rPr>
        <w:t>、《企业突发环境事件风险评估指南》（试行）；</w:t>
      </w:r>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9</w:t>
      </w:r>
      <w:r>
        <w:rPr>
          <w:rFonts w:ascii="Times New Roman" w:hAnsi="仿宋" w:eastAsia="仿宋" w:cs="Times New Roman"/>
          <w:color w:val="auto"/>
          <w:sz w:val="28"/>
          <w:szCs w:val="28"/>
        </w:rPr>
        <w:t>、《突发环境事件应急监测技术规范》</w:t>
      </w:r>
      <w:r>
        <w:rPr>
          <w:rFonts w:ascii="Times New Roman" w:hAnsi="Times New Roman" w:eastAsia="仿宋" w:cs="Times New Roman"/>
          <w:color w:val="auto"/>
          <w:sz w:val="28"/>
          <w:szCs w:val="28"/>
        </w:rPr>
        <w:t>(HJ589-2010)</w:t>
      </w:r>
      <w:r>
        <w:rPr>
          <w:rFonts w:ascii="Times New Roman" w:hAnsi="仿宋" w:eastAsia="仿宋" w:cs="Times New Roman"/>
          <w:color w:val="auto"/>
          <w:sz w:val="28"/>
          <w:szCs w:val="28"/>
        </w:rPr>
        <w:t>；</w:t>
      </w:r>
    </w:p>
    <w:p>
      <w:pPr>
        <w:snapToGrid w:val="0"/>
        <w:spacing w:before="50" w:after="50"/>
        <w:ind w:firstLine="560" w:firstLineChars="200"/>
        <w:rPr>
          <w:rFonts w:hint="eastAsia" w:ascii="Times New Roman" w:hAnsi="仿宋" w:eastAsia="仿宋" w:cs="Times New Roman"/>
          <w:color w:val="auto"/>
          <w:sz w:val="28"/>
          <w:szCs w:val="28"/>
          <w:lang w:eastAsia="zh-CN"/>
        </w:rPr>
      </w:pPr>
      <w:r>
        <w:rPr>
          <w:rFonts w:ascii="Times New Roman" w:hAnsi="Times New Roman" w:eastAsia="仿宋" w:cs="Times New Roman"/>
          <w:color w:val="auto"/>
          <w:sz w:val="28"/>
          <w:szCs w:val="28"/>
        </w:rPr>
        <w:t>10</w:t>
      </w:r>
      <w:r>
        <w:rPr>
          <w:rFonts w:ascii="Times New Roman" w:hAnsi="仿宋" w:eastAsia="仿宋" w:cs="Times New Roman"/>
          <w:color w:val="auto"/>
          <w:sz w:val="28"/>
          <w:szCs w:val="28"/>
        </w:rPr>
        <w:t>、《危险废物贮存污染控制标准》（</w:t>
      </w:r>
      <w:r>
        <w:rPr>
          <w:rFonts w:ascii="Times New Roman" w:hAnsi="Times New Roman" w:eastAsia="仿宋" w:cs="Times New Roman"/>
          <w:color w:val="auto"/>
          <w:sz w:val="28"/>
          <w:szCs w:val="28"/>
        </w:rPr>
        <w:t>GB18597-2001</w:t>
      </w:r>
      <w:r>
        <w:rPr>
          <w:rFonts w:ascii="Times New Roman" w:hAnsi="仿宋" w:eastAsia="仿宋" w:cs="Times New Roman"/>
          <w:color w:val="auto"/>
          <w:sz w:val="28"/>
          <w:szCs w:val="28"/>
        </w:rPr>
        <w:t>）（</w:t>
      </w:r>
      <w:r>
        <w:rPr>
          <w:rFonts w:ascii="Times New Roman" w:hAnsi="Times New Roman" w:eastAsia="仿宋" w:cs="Times New Roman"/>
          <w:color w:val="auto"/>
          <w:sz w:val="28"/>
          <w:szCs w:val="28"/>
        </w:rPr>
        <w:t>2013</w:t>
      </w:r>
      <w:r>
        <w:rPr>
          <w:rFonts w:ascii="Times New Roman" w:hAnsi="仿宋" w:eastAsia="仿宋" w:cs="Times New Roman"/>
          <w:color w:val="auto"/>
          <w:sz w:val="28"/>
          <w:szCs w:val="28"/>
        </w:rPr>
        <w:t>年修订）</w:t>
      </w:r>
      <w:r>
        <w:rPr>
          <w:rFonts w:hint="eastAsia" w:ascii="Times New Roman" w:hAnsi="仿宋" w:eastAsia="仿宋" w:cs="Times New Roman"/>
          <w:color w:val="auto"/>
          <w:sz w:val="28"/>
          <w:szCs w:val="28"/>
          <w:lang w:eastAsia="zh-CN"/>
        </w:rPr>
        <w:t>；</w:t>
      </w:r>
    </w:p>
    <w:p>
      <w:pPr>
        <w:snapToGrid w:val="0"/>
        <w:spacing w:before="50" w:after="50"/>
        <w:ind w:firstLine="560" w:firstLineChars="200"/>
        <w:rPr>
          <w:rFonts w:hint="eastAsia" w:ascii="Times New Roman" w:hAnsi="仿宋" w:eastAsia="仿宋" w:cs="Times New Roman"/>
          <w:color w:val="auto"/>
          <w:sz w:val="28"/>
          <w:szCs w:val="28"/>
        </w:rPr>
      </w:pPr>
      <w:r>
        <w:rPr>
          <w:rFonts w:hint="eastAsia" w:ascii="Times New Roman" w:hAnsi="仿宋" w:eastAsia="仿宋" w:cs="Times New Roman"/>
          <w:color w:val="auto"/>
          <w:sz w:val="28"/>
          <w:szCs w:val="28"/>
          <w:lang w:val="en-US" w:eastAsia="zh-CN"/>
        </w:rPr>
        <w:t>11、</w:t>
      </w:r>
      <w:r>
        <w:rPr>
          <w:rFonts w:hint="eastAsia" w:ascii="Times New Roman" w:hAnsi="仿宋" w:eastAsia="仿宋" w:cs="Times New Roman"/>
          <w:color w:val="auto"/>
          <w:sz w:val="28"/>
          <w:szCs w:val="28"/>
        </w:rPr>
        <w:t>《环境应急资源调查指南（试行）》</w:t>
      </w:r>
      <w:r>
        <w:rPr>
          <w:rFonts w:hint="eastAsia" w:ascii="Times New Roman" w:hAnsi="仿宋" w:eastAsia="仿宋" w:cs="Times New Roman"/>
          <w:color w:val="auto"/>
          <w:sz w:val="28"/>
          <w:szCs w:val="28"/>
          <w:lang w:eastAsia="zh-CN"/>
        </w:rPr>
        <w:t>（</w:t>
      </w:r>
      <w:r>
        <w:rPr>
          <w:rFonts w:hint="eastAsia" w:ascii="Times New Roman" w:hAnsi="仿宋" w:eastAsia="仿宋" w:cs="Times New Roman"/>
          <w:color w:val="auto"/>
          <w:sz w:val="28"/>
          <w:szCs w:val="28"/>
        </w:rPr>
        <w:t>环办应急[2019]17号</w:t>
      </w:r>
      <w:r>
        <w:rPr>
          <w:rFonts w:hint="eastAsia" w:ascii="Times New Roman" w:hAnsi="仿宋" w:eastAsia="仿宋" w:cs="Times New Roman"/>
          <w:color w:val="auto"/>
          <w:sz w:val="28"/>
          <w:szCs w:val="28"/>
          <w:lang w:eastAsia="zh-CN"/>
        </w:rPr>
        <w:t>）；</w:t>
      </w:r>
    </w:p>
    <w:p>
      <w:pPr>
        <w:snapToGrid w:val="0"/>
        <w:spacing w:before="50" w:after="50"/>
        <w:ind w:firstLine="560" w:firstLineChars="200"/>
        <w:rPr>
          <w:rFonts w:hint="default" w:ascii="Times New Roman" w:hAnsi="仿宋" w:eastAsia="仿宋" w:cs="Times New Roman"/>
          <w:color w:val="auto"/>
          <w:sz w:val="28"/>
          <w:szCs w:val="28"/>
          <w:lang w:val="en-US" w:eastAsia="zh-CN"/>
        </w:rPr>
      </w:pPr>
      <w:r>
        <w:rPr>
          <w:rFonts w:hint="eastAsia" w:ascii="Times New Roman" w:hAnsi="仿宋" w:eastAsia="仿宋" w:cs="Times New Roman"/>
          <w:color w:val="auto"/>
          <w:sz w:val="28"/>
          <w:szCs w:val="28"/>
          <w:lang w:val="en-US" w:eastAsia="zh-CN"/>
        </w:rPr>
        <w:t>12、《企业事业单位突发环境事件应急预案评审工作指南》（环办应急[2018]8号）。</w:t>
      </w:r>
    </w:p>
    <w:p>
      <w:pPr>
        <w:widowControl/>
        <w:spacing w:before="50" w:after="50"/>
        <w:jc w:val="left"/>
        <w:outlineLvl w:val="2"/>
        <w:rPr>
          <w:rFonts w:ascii="Times New Roman" w:hAnsi="Times New Roman" w:eastAsia="仿宋" w:cs="Times New Roman"/>
          <w:b/>
          <w:bCs/>
          <w:color w:val="auto"/>
          <w:kern w:val="0"/>
          <w:sz w:val="28"/>
          <w:szCs w:val="28"/>
        </w:rPr>
      </w:pPr>
      <w:bookmarkStart w:id="23" w:name="_Toc2080"/>
      <w:r>
        <w:rPr>
          <w:rFonts w:ascii="Times New Roman" w:hAnsi="Times New Roman" w:eastAsia="仿宋" w:cs="Times New Roman"/>
          <w:b/>
          <w:bCs/>
          <w:color w:val="auto"/>
          <w:sz w:val="28"/>
          <w:szCs w:val="28"/>
        </w:rPr>
        <w:t>2.</w:t>
      </w:r>
      <w:r>
        <w:rPr>
          <w:rFonts w:hint="eastAsia" w:ascii="Times New Roman" w:hAnsi="Times New Roman" w:eastAsia="仿宋" w:cs="Times New Roman"/>
          <w:b/>
          <w:bCs/>
          <w:color w:val="auto"/>
          <w:sz w:val="28"/>
          <w:szCs w:val="28"/>
          <w:lang w:val="en-US" w:eastAsia="zh-CN"/>
        </w:rPr>
        <w:t>2</w:t>
      </w:r>
      <w:r>
        <w:rPr>
          <w:rFonts w:ascii="Times New Roman" w:hAnsi="Times New Roman" w:eastAsia="仿宋" w:cs="Times New Roman"/>
          <w:b/>
          <w:bCs/>
          <w:color w:val="auto"/>
          <w:sz w:val="28"/>
          <w:szCs w:val="28"/>
        </w:rPr>
        <w:t>.3</w:t>
      </w:r>
      <w:r>
        <w:rPr>
          <w:rFonts w:ascii="Times New Roman" w:hAnsi="仿宋" w:eastAsia="仿宋" w:cs="Times New Roman"/>
          <w:b/>
          <w:bCs/>
          <w:color w:val="auto"/>
          <w:kern w:val="0"/>
          <w:sz w:val="28"/>
          <w:szCs w:val="28"/>
        </w:rPr>
        <w:t>企业相关文件和资料</w:t>
      </w:r>
      <w:bookmarkEnd w:id="23"/>
    </w:p>
    <w:p>
      <w:pPr>
        <w:snapToGrid w:val="0"/>
        <w:spacing w:before="50" w:after="50"/>
        <w:ind w:firstLine="560" w:firstLineChars="200"/>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1</w:t>
      </w:r>
      <w:r>
        <w:rPr>
          <w:rFonts w:ascii="Times New Roman" w:hAnsi="仿宋" w:eastAsia="仿宋" w:cs="Times New Roman"/>
          <w:color w:val="auto"/>
          <w:sz w:val="28"/>
          <w:szCs w:val="28"/>
        </w:rPr>
        <w:t>、环境影响报告</w:t>
      </w:r>
      <w:r>
        <w:rPr>
          <w:rFonts w:hint="eastAsia" w:ascii="Times New Roman" w:hAnsi="仿宋" w:eastAsia="仿宋" w:cs="Times New Roman"/>
          <w:color w:val="auto"/>
          <w:sz w:val="28"/>
          <w:szCs w:val="28"/>
        </w:rPr>
        <w:t>表</w:t>
      </w:r>
      <w:r>
        <w:rPr>
          <w:rFonts w:ascii="Times New Roman" w:hAnsi="仿宋" w:eastAsia="仿宋" w:cs="Times New Roman"/>
          <w:color w:val="auto"/>
          <w:sz w:val="28"/>
          <w:szCs w:val="28"/>
        </w:rPr>
        <w:t>及其批复；</w:t>
      </w:r>
    </w:p>
    <w:p>
      <w:pPr>
        <w:snapToGrid w:val="0"/>
        <w:spacing w:before="50" w:after="50"/>
        <w:ind w:firstLine="560" w:firstLineChars="200"/>
        <w:rPr>
          <w:rFonts w:ascii="Times New Roman" w:hAnsi="仿宋" w:eastAsia="仿宋" w:cs="Times New Roman"/>
          <w:color w:val="auto"/>
          <w:sz w:val="28"/>
          <w:szCs w:val="28"/>
        </w:rPr>
      </w:pPr>
      <w:r>
        <w:rPr>
          <w:rFonts w:ascii="Times New Roman" w:hAnsi="Times New Roman" w:eastAsia="仿宋" w:cs="Times New Roman"/>
          <w:color w:val="auto"/>
          <w:sz w:val="28"/>
          <w:szCs w:val="28"/>
        </w:rPr>
        <w:t>2</w:t>
      </w:r>
      <w:r>
        <w:rPr>
          <w:rFonts w:ascii="Times New Roman" w:hAnsi="仿宋" w:eastAsia="仿宋" w:cs="Times New Roman"/>
          <w:color w:val="auto"/>
          <w:sz w:val="28"/>
          <w:szCs w:val="28"/>
        </w:rPr>
        <w:t>、</w:t>
      </w:r>
      <w:r>
        <w:rPr>
          <w:rFonts w:hint="eastAsia" w:ascii="Times New Roman" w:hAnsi="仿宋" w:eastAsia="仿宋" w:cs="Times New Roman"/>
          <w:color w:val="auto"/>
          <w:sz w:val="28"/>
          <w:szCs w:val="28"/>
        </w:rPr>
        <w:t>江苏超力建材科技有限公司</w:t>
      </w:r>
      <w:r>
        <w:rPr>
          <w:rFonts w:ascii="Times New Roman" w:hAnsi="仿宋" w:eastAsia="仿宋" w:cs="Times New Roman"/>
          <w:color w:val="auto"/>
          <w:sz w:val="28"/>
          <w:szCs w:val="28"/>
        </w:rPr>
        <w:t>提供的</w:t>
      </w:r>
      <w:r>
        <w:rPr>
          <w:rFonts w:ascii="Times New Roman" w:hAnsi="仿宋" w:eastAsia="仿宋" w:cs="Times New Roman"/>
          <w:color w:val="auto"/>
          <w:sz w:val="28"/>
          <w:szCs w:val="28"/>
          <w:highlight w:val="none"/>
        </w:rPr>
        <w:t>其他资料</w:t>
      </w:r>
      <w:r>
        <w:rPr>
          <w:rFonts w:ascii="Times New Roman" w:hAnsi="仿宋" w:eastAsia="仿宋" w:cs="Times New Roman"/>
          <w:color w:val="auto"/>
          <w:sz w:val="28"/>
          <w:szCs w:val="28"/>
        </w:rPr>
        <w:t>。</w:t>
      </w:r>
    </w:p>
    <w:p>
      <w:pPr>
        <w:tabs>
          <w:tab w:val="left" w:pos="703"/>
        </w:tabs>
        <w:jc w:val="left"/>
        <w:outlineLvl w:val="1"/>
        <w:rPr>
          <w:rFonts w:ascii="Times New Roman" w:hAnsi="Times New Roman"/>
          <w:b/>
          <w:bCs/>
          <w:color w:val="auto"/>
          <w:sz w:val="28"/>
          <w:szCs w:val="28"/>
        </w:rPr>
      </w:pPr>
      <w:bookmarkStart w:id="24" w:name="_Toc23524"/>
      <w:r>
        <w:rPr>
          <w:rFonts w:ascii="Times New Roman" w:hAnsi="Times New Roman"/>
          <w:b/>
          <w:bCs/>
          <w:color w:val="auto"/>
          <w:sz w:val="28"/>
          <w:szCs w:val="28"/>
        </w:rPr>
        <w:t>2.</w:t>
      </w:r>
      <w:r>
        <w:rPr>
          <w:rFonts w:hint="eastAsia" w:ascii="Times New Roman" w:hAnsi="Times New Roman"/>
          <w:b/>
          <w:bCs/>
          <w:color w:val="auto"/>
          <w:sz w:val="28"/>
          <w:szCs w:val="28"/>
          <w:lang w:val="en-US" w:eastAsia="zh-CN"/>
        </w:rPr>
        <w:t>3</w:t>
      </w:r>
      <w:r>
        <w:rPr>
          <w:rFonts w:ascii="Times New Roman"/>
          <w:b/>
          <w:bCs/>
          <w:color w:val="auto"/>
          <w:sz w:val="28"/>
          <w:szCs w:val="28"/>
        </w:rPr>
        <w:t>环境风险评估过程和程序</w:t>
      </w:r>
      <w:bookmarkEnd w:id="24"/>
    </w:p>
    <w:p>
      <w:pPr>
        <w:snapToGrid w:val="0"/>
        <w:spacing w:line="360" w:lineRule="auto"/>
        <w:ind w:right="-181" w:firstLine="560" w:firstLineChars="200"/>
        <w:rPr>
          <w:rFonts w:hint="eastAsia" w:ascii="Times New Roman" w:hAnsi="仿宋" w:eastAsia="仿宋" w:cs="Times New Roman"/>
          <w:color w:val="auto"/>
          <w:sz w:val="28"/>
          <w:szCs w:val="28"/>
        </w:rPr>
      </w:pPr>
      <w:r>
        <w:rPr>
          <w:rFonts w:ascii="Times New Roman" w:hAnsi="仿宋" w:eastAsia="仿宋" w:cs="Times New Roman"/>
          <w:color w:val="auto"/>
          <w:sz w:val="28"/>
          <w:szCs w:val="28"/>
        </w:rPr>
        <w:t>环境风险评估程序见图</w:t>
      </w:r>
      <w:r>
        <w:rPr>
          <w:rFonts w:ascii="Times New Roman" w:hAnsi="Times New Roman" w:eastAsia="仿宋" w:cs="Times New Roman"/>
          <w:color w:val="auto"/>
          <w:sz w:val="28"/>
          <w:szCs w:val="28"/>
        </w:rPr>
        <w:t>2.2-1</w:t>
      </w:r>
      <w:r>
        <w:rPr>
          <w:rFonts w:ascii="Times New Roman" w:hAnsi="仿宋" w:eastAsia="仿宋" w:cs="Times New Roman"/>
          <w:color w:val="auto"/>
          <w:sz w:val="28"/>
          <w:szCs w:val="28"/>
        </w:rPr>
        <w:t>。</w:t>
      </w:r>
    </w:p>
    <w:p>
      <w:pPr>
        <w:snapToGrid w:val="0"/>
        <w:spacing w:line="360" w:lineRule="auto"/>
        <w:ind w:right="-181" w:firstLine="560" w:firstLineChars="200"/>
        <w:rPr>
          <w:rFonts w:ascii="Times New Roman" w:hAnsi="Times New Roman" w:eastAsia="仿宋" w:cs="Times New Roman"/>
          <w:color w:val="auto"/>
          <w:sz w:val="28"/>
          <w:szCs w:val="28"/>
        </w:rPr>
      </w:pPr>
      <w:r>
        <w:rPr>
          <w:rFonts w:ascii="Calibri" w:hAnsi="Calibri" w:eastAsia="仿宋" w:cs="黑体"/>
          <w:color w:val="auto"/>
          <w:kern w:val="2"/>
          <w:sz w:val="28"/>
          <w:szCs w:val="28"/>
          <w:lang w:val="en-US" w:eastAsia="zh-CN" w:bidi="ar-SA"/>
        </w:rPr>
        <w:pict>
          <v:group id="画布 136" o:spid="_x0000_s1030" o:spt="203" style="position:absolute;left:0pt;margin-left:24.75pt;margin-top:1.2pt;height:499.2pt;width:405.65pt;z-index:-251624448;mso-width-relative:page;mso-height-relative:page;" coordsize="8113,9984">
            <o:lock v:ext="edit" position="f" selection="f" grouping="f" rotation="f" cropping="f" text="f" aspectratio="f"/>
            <v:rect id="Rectangle 3" o:spid="_x0000_s1031" o:spt="1" style="position:absolute;left:0;top:0;height:9984;width:8113;" fillcolor="#FFFFFF" filled="f" o:preferrelative="t" stroked="f" coordsize="21600,21600">
              <v:path/>
              <v:fill on="f" color2="#FFFFFF" focussize="0,0"/>
              <v:stroke on="f"/>
              <v:imagedata gain="65536f" blacklevel="0f" gamma="0" o:title=""/>
              <o:lock v:ext="edit" position="f" selection="f" grouping="f" rotation="f" cropping="f" text="f" aspectratio="f"/>
            </v:rect>
            <v:rect id="文本框 138" o:spid="_x0000_s1032" o:spt="1" style="position:absolute;left:2438;top:1088;height:471;width:3240;"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rPr>
                        <w:rFonts w:ascii="仿宋" w:hAnsi="仿宋" w:eastAsia="仿宋"/>
                        <w:sz w:val="21"/>
                        <w:szCs w:val="21"/>
                      </w:rPr>
                    </w:pPr>
                    <w:r>
                      <w:rPr>
                        <w:rFonts w:ascii="仿宋" w:hAnsi="仿宋" w:eastAsia="仿宋"/>
                        <w:sz w:val="21"/>
                        <w:szCs w:val="21"/>
                      </w:rPr>
                      <w:t>列出环境风险物质临界量清单</w:t>
                    </w:r>
                  </w:p>
                </w:txbxContent>
              </v:textbox>
            </v:rect>
            <v:line id="直线 139" o:spid="_x0000_s1033" o:spt="20" style="position:absolute;left:4024;top:620;height:469;width:1;"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v:line id="直线 140" o:spid="_x0000_s1034" o:spt="20" style="position:absolute;left:4058;top:1560;height:469;width:1;"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v:line id="直线 141" o:spid="_x0000_s1035" o:spt="20" style="position:absolute;left:4045;top:2808;height:469;width:1;"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v:rect id="文本框 142" o:spid="_x0000_s1036" o:spt="1" style="position:absolute;left:2785;top:3276;height:780;width:2520;"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rPr>
                        <w:rFonts w:eastAsia="仿宋"/>
                        <w:sz w:val="21"/>
                        <w:szCs w:val="21"/>
                      </w:rPr>
                    </w:pPr>
                    <w:r>
                      <w:rPr>
                        <w:rFonts w:eastAsia="仿宋"/>
                        <w:sz w:val="21"/>
                        <w:szCs w:val="21"/>
                      </w:rPr>
                      <w:t>环境风险物质数量</w:t>
                    </w:r>
                  </w:p>
                  <w:p>
                    <w:pPr>
                      <w:jc w:val="center"/>
                      <w:rPr>
                        <w:rFonts w:eastAsia="仿宋"/>
                      </w:rPr>
                    </w:pPr>
                    <w:r>
                      <w:rPr>
                        <w:rFonts w:eastAsia="仿宋"/>
                        <w:sz w:val="21"/>
                        <w:szCs w:val="21"/>
                      </w:rPr>
                      <w:t>临界量比值（Q）</w:t>
                    </w:r>
                  </w:p>
                </w:txbxContent>
              </v:textbox>
            </v:rect>
            <v:rect id="文本框 143" o:spid="_x0000_s1037" o:spt="1" style="position:absolute;left:445;top:3276;height:780;width:2160;"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rPr>
                        <w:rFonts w:eastAsia="仿宋"/>
                        <w:sz w:val="21"/>
                        <w:szCs w:val="21"/>
                      </w:rPr>
                    </w:pPr>
                    <w:r>
                      <w:rPr>
                        <w:rFonts w:eastAsia="仿宋"/>
                        <w:sz w:val="21"/>
                        <w:szCs w:val="21"/>
                      </w:rPr>
                      <w:t>环境风险及其控制水平（M）</w:t>
                    </w:r>
                  </w:p>
                </w:txbxContent>
              </v:textbox>
            </v:rect>
            <v:rect id="文本框 144" o:spid="_x0000_s1038" o:spt="1" style="position:absolute;left:4153;top:5610;height:780;width:1620;"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rPr>
                        <w:rFonts w:ascii="仿宋" w:hAnsi="仿宋" w:eastAsia="仿宋"/>
                        <w:sz w:val="21"/>
                        <w:szCs w:val="21"/>
                      </w:rPr>
                    </w:pPr>
                    <w:r>
                      <w:rPr>
                        <w:rFonts w:hint="eastAsia" w:ascii="仿宋" w:hAnsi="仿宋" w:eastAsia="仿宋"/>
                        <w:sz w:val="21"/>
                        <w:szCs w:val="21"/>
                      </w:rPr>
                      <w:t>较大</w:t>
                    </w:r>
                    <w:r>
                      <w:rPr>
                        <w:rFonts w:ascii="仿宋" w:hAnsi="仿宋" w:eastAsia="仿宋"/>
                        <w:sz w:val="21"/>
                        <w:szCs w:val="21"/>
                      </w:rPr>
                      <w:t>环境风险企业</w:t>
                    </w:r>
                  </w:p>
                </w:txbxContent>
              </v:textbox>
            </v:rect>
            <v:rect id="文本框 145" o:spid="_x0000_s1039" o:spt="1" style="position:absolute;left:5953;top:5610;height:780;width:1620;"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rPr>
                        <w:rFonts w:ascii="仿宋" w:hAnsi="仿宋" w:eastAsia="仿宋"/>
                      </w:rPr>
                    </w:pPr>
                    <w:r>
                      <w:rPr>
                        <w:rFonts w:hint="eastAsia" w:ascii="仿宋" w:hAnsi="仿宋" w:eastAsia="仿宋"/>
                        <w:sz w:val="21"/>
                        <w:szCs w:val="21"/>
                      </w:rPr>
                      <w:t>重大</w:t>
                    </w:r>
                    <w:r>
                      <w:rPr>
                        <w:rFonts w:ascii="仿宋" w:hAnsi="仿宋" w:eastAsia="仿宋"/>
                        <w:sz w:val="21"/>
                        <w:szCs w:val="21"/>
                      </w:rPr>
                      <w:t>环境风险企业</w:t>
                    </w:r>
                  </w:p>
                </w:txbxContent>
              </v:textbox>
            </v:rect>
            <v:rect id="文本框 146" o:spid="_x0000_s1040" o:spt="1" style="position:absolute;left:2368;top:5616;height:780;width:1620;"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rPr>
                        <w:rFonts w:ascii="仿宋" w:hAnsi="仿宋" w:eastAsia="仿宋"/>
                        <w:sz w:val="21"/>
                        <w:szCs w:val="21"/>
                      </w:rPr>
                    </w:pPr>
                    <w:r>
                      <w:rPr>
                        <w:rFonts w:hint="eastAsia" w:ascii="仿宋" w:hAnsi="仿宋" w:eastAsia="仿宋"/>
                        <w:sz w:val="21"/>
                        <w:szCs w:val="21"/>
                      </w:rPr>
                      <w:t>一般</w:t>
                    </w:r>
                    <w:r>
                      <w:rPr>
                        <w:rFonts w:ascii="仿宋" w:hAnsi="仿宋" w:eastAsia="仿宋"/>
                        <w:sz w:val="21"/>
                        <w:szCs w:val="21"/>
                      </w:rPr>
                      <w:t>环境风险企业</w:t>
                    </w:r>
                  </w:p>
                </w:txbxContent>
              </v:textbox>
            </v:rect>
            <v:line id="直线 147" o:spid="_x0000_s1041" o:spt="20" style="position:absolute;left:4045;top:4056;height:469;width:1;"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v:line id="直线 148" o:spid="_x0000_s1042" o:spt="20" style="position:absolute;left:1705;top:4056;height:469;width:1;"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v:rect id="文本框 149" o:spid="_x0000_s1043" o:spt="1" style="position:absolute;left:985;top:4522;height:469;width:6300;"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rPr>
                        <w:rFonts w:ascii="仿宋" w:hAnsi="仿宋" w:eastAsia="仿宋"/>
                        <w:sz w:val="21"/>
                        <w:szCs w:val="21"/>
                      </w:rPr>
                    </w:pPr>
                    <w:r>
                      <w:rPr>
                        <w:rFonts w:ascii="仿宋" w:hAnsi="仿宋" w:eastAsia="仿宋"/>
                        <w:sz w:val="21"/>
                        <w:szCs w:val="21"/>
                      </w:rPr>
                      <w:t>企业环境风险等级评估矩阵</w:t>
                    </w:r>
                  </w:p>
                </w:txbxContent>
              </v:textbox>
            </v:rect>
            <v:rect id="矩形 150" o:spid="_x0000_s1044" o:spt="1" style="position:absolute;left:733;top:5520;height:1092;width:7380;" fillcolor="#FFFFFF" filled="f" o:preferrelative="t" stroked="t" coordsize="21600,21600">
              <v:path/>
              <v:fill on="f" color2="#FFFFFF" focussize="0,0"/>
              <v:stroke color="#000000" color2="#FFFFFF" miterlimit="2" dashstyle="dash"/>
              <v:imagedata gain="65536f" blacklevel="0f" gamma="0" o:title=""/>
              <o:lock v:ext="edit" position="f" selection="f" grouping="f" rotation="f" cropping="f" text="f" aspectratio="f"/>
            </v:rect>
            <v:line id="直线 151" o:spid="_x0000_s1045" o:spt="20" style="position:absolute;left:3793;top:4992;height:469;width:1;"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v:rect id="文本框 152" o:spid="_x0000_s1046" o:spt="1" style="position:absolute;left:2425;top:2028;height:780;width:3240;"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rPr>
                        <w:rFonts w:eastAsia="仿宋"/>
                      </w:rPr>
                    </w:pPr>
                    <w:r>
                      <w:rPr>
                        <w:rFonts w:eastAsia="仿宋"/>
                        <w:sz w:val="21"/>
                        <w:szCs w:val="21"/>
                      </w:rPr>
                      <w:t>计算环境风险物质量与临界量比值（Q）</w:t>
                    </w:r>
                  </w:p>
                </w:txbxContent>
              </v:textbox>
            </v:rect>
            <v:rect id="文本框 153" o:spid="_x0000_s1047" o:spt="1" style="position:absolute;left:5485;top:3273;height:780;width:2160;"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rPr>
                        <w:rFonts w:hint="eastAsia" w:ascii="仿宋" w:hAnsi="仿宋" w:eastAsia="仿宋"/>
                      </w:rPr>
                    </w:pPr>
                    <w:r>
                      <w:rPr>
                        <w:rFonts w:hint="eastAsia" w:ascii="仿宋" w:hAnsi="仿宋" w:eastAsia="仿宋"/>
                        <w:sz w:val="21"/>
                        <w:szCs w:val="21"/>
                      </w:rPr>
                      <w:t>环境风险受体</w:t>
                    </w:r>
                  </w:p>
                  <w:p>
                    <w:pPr>
                      <w:jc w:val="center"/>
                      <w:rPr>
                        <w:rFonts w:ascii="仿宋" w:hAnsi="仿宋" w:eastAsia="仿宋"/>
                        <w:sz w:val="21"/>
                        <w:szCs w:val="21"/>
                      </w:rPr>
                    </w:pPr>
                    <w:r>
                      <w:rPr>
                        <w:rFonts w:hint="eastAsia" w:ascii="仿宋" w:hAnsi="仿宋" w:eastAsia="仿宋"/>
                        <w:sz w:val="21"/>
                        <w:szCs w:val="21"/>
                      </w:rPr>
                      <w:t>敏感性（E）</w:t>
                    </w:r>
                  </w:p>
                </w:txbxContent>
              </v:textbox>
            </v:rect>
            <v:line id="直线 154" o:spid="_x0000_s1048" o:spt="20" style="position:absolute;left:6565;top:4053;height:469;width:1;"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v:line id="直线 155" o:spid="_x0000_s1049" o:spt="20" style="position:absolute;left:4944;top:6862;flip:y;height:2;width:1980;"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v:line id="直线 156" o:spid="_x0000_s1050" o:spt="20" style="position:absolute;left:5844;top:6861;height:468;width:1;"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v:line id="直线 157" o:spid="_x0000_s1051" o:spt="20" style="position:absolute;left:4945;top:6393;height:468;width:1;"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v:line id="直线 158" o:spid="_x0000_s1052" o:spt="20" style="position:absolute;left:6925;top:6393;height:468;width:1;"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v:rect id="文本框 159" o:spid="_x0000_s1053" o:spt="1" style="position:absolute;left:4224;top:7329;height:468;width:3240;"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inset="1.42pt,1.27mm,1.42pt,1.27mm">
                <w:txbxContent>
                  <w:p>
                    <w:pPr>
                      <w:jc w:val="center"/>
                      <w:rPr>
                        <w:rFonts w:ascii="仿宋" w:hAnsi="仿宋" w:eastAsia="仿宋"/>
                      </w:rPr>
                    </w:pPr>
                    <w:r>
                      <w:rPr>
                        <w:rFonts w:hint="eastAsia" w:ascii="仿宋" w:hAnsi="仿宋" w:eastAsia="仿宋"/>
                        <w:sz w:val="21"/>
                        <w:szCs w:val="21"/>
                      </w:rPr>
                      <w:t>企业环境风险分析</w:t>
                    </w:r>
                  </w:p>
                  <w:p/>
                </w:txbxContent>
              </v:textbox>
            </v:rect>
            <v:line id="直线 160" o:spid="_x0000_s1054" o:spt="20" style="position:absolute;left:5844;top:7797;height:627;width:1;"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v:rect id="文本框 161" o:spid="_x0000_s1055" o:spt="1" style="position:absolute;left:4224;top:8424;height:468;width:3240;"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inset="1.42pt,1.27mm,1.42pt,1.27mm">
                <w:txbxContent>
                  <w:p>
                    <w:pPr>
                      <w:jc w:val="center"/>
                      <w:rPr>
                        <w:rFonts w:ascii="仿宋" w:hAnsi="仿宋" w:eastAsia="仿宋"/>
                      </w:rPr>
                    </w:pPr>
                    <w:r>
                      <w:rPr>
                        <w:rFonts w:hint="eastAsia" w:ascii="仿宋" w:hAnsi="仿宋" w:eastAsia="仿宋"/>
                        <w:sz w:val="21"/>
                        <w:szCs w:val="21"/>
                      </w:rPr>
                      <w:t>现有风险防控措施存在问题</w:t>
                    </w:r>
                  </w:p>
                  <w:p>
                    <w:pPr>
                      <w:jc w:val="center"/>
                    </w:pPr>
                    <w:r>
                      <w:rPr>
                        <w:rFonts w:hint="eastAsia" w:eastAsia="仿宋_GB2312"/>
                      </w:rPr>
                      <w:t>整改建议</w:t>
                    </w:r>
                  </w:p>
                </w:txbxContent>
              </v:textbox>
            </v:rect>
            <v:line id="直线 162" o:spid="_x0000_s1056" o:spt="20" style="position:absolute;left:5844;top:8892;height:468;width:1;"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v:rect id="文本框 163" o:spid="_x0000_s1057" o:spt="1" style="position:absolute;left:4224;top:9360;height:468;width:3240;"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inset="1.42pt,1.27mm,1.42pt,1.27mm">
                <w:txbxContent>
                  <w:p>
                    <w:pPr>
                      <w:jc w:val="center"/>
                      <w:rPr>
                        <w:rFonts w:ascii="仿宋" w:hAnsi="仿宋" w:eastAsia="仿宋"/>
                        <w:sz w:val="21"/>
                        <w:szCs w:val="21"/>
                      </w:rPr>
                    </w:pPr>
                    <w:r>
                      <w:rPr>
                        <w:rFonts w:hint="eastAsia" w:ascii="仿宋" w:hAnsi="仿宋" w:eastAsia="仿宋"/>
                        <w:sz w:val="21"/>
                        <w:szCs w:val="21"/>
                      </w:rPr>
                      <w:t>整改建议</w:t>
                    </w:r>
                  </w:p>
                </w:txbxContent>
              </v:textbox>
            </v:rect>
            <v:line id="直线 164" o:spid="_x0000_s1058" o:spt="20" style="position:absolute;left:3233;top:6396;height:1715;width:1;"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v:line id="直线 165" o:spid="_x0000_s1059" o:spt="20" style="position:absolute;left:3234;top:8112;height:1;width:2610;"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v:rect id="文本框 166" o:spid="_x0000_s1060" o:spt="1" style="position:absolute;left:2452;top:101;height:504;width:3240;"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rPr>
                        <w:rFonts w:ascii="仿宋" w:hAnsi="仿宋" w:eastAsia="仿宋"/>
                      </w:rPr>
                    </w:pPr>
                    <w:r>
                      <w:rPr>
                        <w:rFonts w:ascii="仿宋" w:hAnsi="仿宋" w:eastAsia="仿宋"/>
                        <w:sz w:val="21"/>
                        <w:szCs w:val="21"/>
                      </w:rPr>
                      <w:t>待评估环境风险的企业</w:t>
                    </w:r>
                  </w:p>
                </w:txbxContent>
              </v:textbox>
            </v:rect>
          </v:group>
        </w:pict>
      </w: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0" w:firstLineChars="200"/>
        <w:jc w:val="center"/>
        <w:rPr>
          <w:rFonts w:hint="eastAsia" w:ascii="Times New Roman" w:hAnsi="仿宋" w:eastAsia="仿宋" w:cs="Times New Roman"/>
          <w:color w:val="auto"/>
          <w:sz w:val="24"/>
          <w:szCs w:val="24"/>
        </w:rPr>
      </w:pPr>
    </w:p>
    <w:p>
      <w:pPr>
        <w:snapToGrid w:val="0"/>
        <w:spacing w:line="360" w:lineRule="auto"/>
        <w:ind w:right="-181" w:firstLine="482" w:firstLineChars="200"/>
        <w:jc w:val="center"/>
        <w:rPr>
          <w:rFonts w:ascii="Times New Roman" w:hAnsi="仿宋" w:eastAsia="仿宋" w:cs="Times New Roman"/>
          <w:b/>
          <w:bCs/>
          <w:color w:val="auto"/>
          <w:sz w:val="28"/>
          <w:szCs w:val="28"/>
        </w:rPr>
      </w:pPr>
      <w:r>
        <w:rPr>
          <w:rFonts w:hint="eastAsia" w:ascii="Times New Roman" w:hAnsi="仿宋" w:eastAsia="仿宋" w:cs="Times New Roman"/>
          <w:b/>
          <w:bCs/>
          <w:color w:val="auto"/>
          <w:sz w:val="24"/>
          <w:szCs w:val="24"/>
        </w:rPr>
        <w:t>图2.2-1企业环境风险评估程序示意图</w:t>
      </w:r>
    </w:p>
    <w:p>
      <w:pPr>
        <w:pStyle w:val="4"/>
        <w:keepNext/>
        <w:keepLines/>
        <w:wordWrap/>
        <w:adjustRightInd w:val="0"/>
        <w:snapToGrid w:val="0"/>
        <w:spacing w:beforeLines="50" w:beforeAutospacing="0" w:afterLines="50" w:line="240" w:lineRule="auto"/>
        <w:ind w:left="0"/>
        <w:jc w:val="both"/>
        <w:textAlignment w:val="auto"/>
        <w:outlineLvl w:val="0"/>
        <w:rPr>
          <w:rFonts w:hint="default" w:ascii="Times New Roman" w:hAnsi="Times New Roman" w:eastAsia="仿宋_GB2312" w:cs="Times New Roman"/>
          <w:b/>
          <w:bCs/>
          <w:color w:val="auto"/>
          <w:sz w:val="32"/>
          <w:szCs w:val="32"/>
        </w:rPr>
      </w:pPr>
      <w:bookmarkStart w:id="25" w:name="_Toc1188"/>
      <w:r>
        <w:rPr>
          <w:rFonts w:hint="default" w:ascii="Times New Roman" w:hAnsi="Times New Roman" w:eastAsia="仿宋_GB2312" w:cs="Times New Roman"/>
          <w:b/>
          <w:bCs/>
          <w:color w:val="auto"/>
          <w:sz w:val="32"/>
          <w:szCs w:val="32"/>
        </w:rPr>
        <w:t>3 环境风险识别</w:t>
      </w:r>
      <w:bookmarkEnd w:id="25"/>
    </w:p>
    <w:p>
      <w:pPr>
        <w:pStyle w:val="5"/>
        <w:keepNext/>
        <w:keepLines/>
        <w:wordWrap/>
        <w:adjustRightInd w:val="0"/>
        <w:snapToGrid w:val="0"/>
        <w:spacing w:beforeLines="50" w:beforeAutospacing="0" w:afterLines="50" w:line="240" w:lineRule="auto"/>
        <w:ind w:left="0"/>
        <w:jc w:val="both"/>
        <w:textAlignment w:val="auto"/>
        <w:rPr>
          <w:rFonts w:hint="default" w:ascii="Times New Roman" w:hAnsi="Times New Roman" w:eastAsia="仿宋_GB2312" w:cs="Times New Roman"/>
          <w:b/>
          <w:bCs/>
          <w:color w:val="auto"/>
          <w:sz w:val="30"/>
          <w:szCs w:val="30"/>
        </w:rPr>
      </w:pPr>
      <w:bookmarkStart w:id="26" w:name="_Toc28719"/>
      <w:r>
        <w:rPr>
          <w:rFonts w:hint="default" w:ascii="Times New Roman" w:hAnsi="Times New Roman" w:eastAsia="仿宋_GB2312" w:cs="Times New Roman"/>
          <w:b/>
          <w:bCs/>
          <w:color w:val="auto"/>
          <w:sz w:val="30"/>
          <w:szCs w:val="30"/>
        </w:rPr>
        <w:t>3.1</w:t>
      </w:r>
      <w:r>
        <w:rPr>
          <w:rFonts w:hint="eastAsia" w:ascii="Times New Roman" w:hAnsi="Times New Roman" w:eastAsia="仿宋_GB2312" w:cs="Times New Roman"/>
          <w:b/>
          <w:bCs/>
          <w:color w:val="auto"/>
          <w:sz w:val="30"/>
          <w:szCs w:val="30"/>
          <w:lang w:val="en-US" w:eastAsia="zh-CN"/>
        </w:rPr>
        <w:t xml:space="preserve"> </w:t>
      </w:r>
      <w:r>
        <w:rPr>
          <w:rFonts w:hint="default" w:ascii="Times New Roman" w:hAnsi="Times New Roman" w:eastAsia="仿宋_GB2312" w:cs="Times New Roman"/>
          <w:b/>
          <w:bCs/>
          <w:color w:val="auto"/>
          <w:sz w:val="30"/>
          <w:szCs w:val="30"/>
        </w:rPr>
        <w:t>企业基本信息</w:t>
      </w:r>
      <w:bookmarkEnd w:id="26"/>
    </w:p>
    <w:p>
      <w:pPr>
        <w:widowControl/>
        <w:wordWrap/>
        <w:adjustRightInd w:val="0"/>
        <w:snapToGrid w:val="0"/>
        <w:spacing w:beforeLines="50" w:afterLines="50" w:line="240" w:lineRule="auto"/>
        <w:jc w:val="left"/>
        <w:textAlignment w:val="auto"/>
        <w:outlineLvl w:val="2"/>
        <w:rPr>
          <w:rFonts w:hint="default" w:ascii="Times New Roman" w:hAnsi="Times New Roman" w:eastAsia="仿宋_GB2312" w:cs="Times New Roman"/>
          <w:b/>
          <w:bCs/>
          <w:color w:val="auto"/>
          <w:kern w:val="0"/>
          <w:sz w:val="28"/>
          <w:szCs w:val="28"/>
        </w:rPr>
      </w:pPr>
      <w:bookmarkStart w:id="27" w:name="_Toc18008"/>
      <w:r>
        <w:rPr>
          <w:rFonts w:hint="default" w:ascii="Times New Roman" w:hAnsi="Times New Roman" w:eastAsia="仿宋_GB2312" w:cs="Times New Roman"/>
          <w:b/>
          <w:bCs/>
          <w:color w:val="auto"/>
          <w:kern w:val="0"/>
          <w:sz w:val="28"/>
          <w:szCs w:val="28"/>
        </w:rPr>
        <w:t>3.1.1</w:t>
      </w:r>
      <w:r>
        <w:rPr>
          <w:rFonts w:hint="eastAsia" w:ascii="Times New Roman" w:hAnsi="Times New Roman" w:eastAsia="仿宋_GB2312" w:cs="Times New Roman"/>
          <w:b/>
          <w:bCs/>
          <w:color w:val="auto"/>
          <w:kern w:val="0"/>
          <w:sz w:val="28"/>
          <w:szCs w:val="28"/>
          <w:lang w:val="en-US" w:eastAsia="zh-CN"/>
        </w:rPr>
        <w:t xml:space="preserve"> </w:t>
      </w:r>
      <w:r>
        <w:rPr>
          <w:rFonts w:hint="default" w:ascii="Times New Roman" w:hAnsi="Times New Roman" w:eastAsia="仿宋_GB2312" w:cs="Times New Roman"/>
          <w:b/>
          <w:bCs/>
          <w:color w:val="auto"/>
          <w:kern w:val="0"/>
          <w:sz w:val="28"/>
          <w:szCs w:val="28"/>
        </w:rPr>
        <w:t>企业概况</w:t>
      </w:r>
      <w:bookmarkEnd w:id="27"/>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江苏超力建材科技有限公司（以下简称</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该公司</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老厂区位于徐州经济开发区螺山路26号，主要从事建筑材料及建工建材用特殊化学助剂的技术研发、生产、销售、技术咨询；公路养护；自营和代理各类商品和技术的进出口业务。主要产品为年产3000吨干混砂浆和年产5000吨砼外加剂。</w:t>
      </w:r>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该公司在原厂区保留年产3000吨干混砂浆生产项目的基础上，将砼外加剂生产项目由徐州经济开发区螺山路26号搬迁至贾汪化工产业园区超越路南侧、诺恩路西侧，投资30000万元建设年产20万吨聚羧酸系混凝土外加剂异地搬迁技改项目，建设聚羧酸减水剂生产线3条。占地面积54.6亩，建筑面积25774m</w:t>
      </w:r>
      <w:r>
        <w:rPr>
          <w:rFonts w:hint="default" w:ascii="Times New Roman" w:hAnsi="Times New Roman" w:eastAsia="仿宋_GB2312" w:cs="Times New Roman"/>
          <w:color w:val="auto"/>
          <w:sz w:val="28"/>
          <w:szCs w:val="28"/>
          <w:vertAlign w:val="superscript"/>
        </w:rPr>
        <w:t>2</w:t>
      </w:r>
      <w:r>
        <w:rPr>
          <w:rFonts w:hint="default" w:ascii="Times New Roman" w:hAnsi="Times New Roman" w:eastAsia="仿宋_GB2312" w:cs="Times New Roman"/>
          <w:color w:val="auto"/>
          <w:sz w:val="28"/>
          <w:szCs w:val="28"/>
        </w:rPr>
        <w:t>，职工105人。企业基本情况见下表3.1-1。</w:t>
      </w:r>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江苏超力建材科技有限公司年产20万吨聚羧酸系混凝土外加剂异地搬迁技改项目取得了徐州市经济和信息化委员会</w:t>
      </w:r>
      <w:r>
        <w:rPr>
          <w:rFonts w:hint="default" w:ascii="Times New Roman" w:hAnsi="Times New Roman" w:eastAsia="仿宋_GB2312" w:cs="Times New Roman"/>
          <w:color w:val="auto"/>
          <w:sz w:val="28"/>
          <w:szCs w:val="28"/>
          <w:lang w:eastAsia="zh-CN"/>
        </w:rPr>
        <w:t>出具的</w:t>
      </w:r>
      <w:r>
        <w:rPr>
          <w:rFonts w:hint="default" w:ascii="Times New Roman" w:hAnsi="Times New Roman" w:eastAsia="仿宋_GB2312" w:cs="Times New Roman"/>
          <w:color w:val="auto"/>
          <w:sz w:val="28"/>
          <w:szCs w:val="28"/>
        </w:rPr>
        <w:t>备案证徐州市经济技术开发区管委会备案（徐经信备[2017]2号）。201</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rPr>
        <w:t>年4月由江苏诚智工程设计咨询有限公司编制完成了《江苏超力建材科技有限公司年产20万吨聚羧酸系混凝土外加剂异地搬迁技改项目环境影响报告</w:t>
      </w:r>
      <w:r>
        <w:rPr>
          <w:rFonts w:hint="default" w:ascii="Times New Roman" w:hAnsi="Times New Roman" w:eastAsia="仿宋_GB2312" w:cs="Times New Roman"/>
          <w:color w:val="auto"/>
          <w:sz w:val="28"/>
          <w:szCs w:val="28"/>
          <w:lang w:eastAsia="zh-CN"/>
        </w:rPr>
        <w:t>书</w:t>
      </w:r>
      <w:r>
        <w:rPr>
          <w:rFonts w:hint="default" w:ascii="Times New Roman" w:hAnsi="Times New Roman" w:eastAsia="仿宋_GB2312" w:cs="Times New Roman"/>
          <w:color w:val="auto"/>
          <w:sz w:val="28"/>
          <w:szCs w:val="28"/>
        </w:rPr>
        <w:t>》，201</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rPr>
        <w:t>年</w:t>
      </w:r>
      <w:r>
        <w:rPr>
          <w:rFonts w:hint="default"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rPr>
        <w:t>月</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日取得了</w:t>
      </w:r>
      <w:r>
        <w:rPr>
          <w:rFonts w:hint="default" w:ascii="Times New Roman" w:hAnsi="Times New Roman" w:eastAsia="仿宋_GB2312" w:cs="Times New Roman"/>
          <w:color w:val="auto"/>
          <w:sz w:val="28"/>
          <w:szCs w:val="28"/>
          <w:lang w:eastAsia="zh-CN"/>
        </w:rPr>
        <w:t>徐州市环境保护局</w:t>
      </w:r>
      <w:r>
        <w:rPr>
          <w:rFonts w:hint="default" w:ascii="Times New Roman" w:hAnsi="Times New Roman" w:eastAsia="仿宋_GB2312" w:cs="Times New Roman"/>
          <w:color w:val="auto"/>
          <w:sz w:val="28"/>
          <w:szCs w:val="28"/>
        </w:rPr>
        <w:t>审批意见（徐环</w:t>
      </w:r>
      <w:r>
        <w:rPr>
          <w:rFonts w:hint="default" w:ascii="Times New Roman" w:hAnsi="Times New Roman" w:eastAsia="仿宋_GB2312" w:cs="Times New Roman"/>
          <w:color w:val="auto"/>
          <w:sz w:val="28"/>
          <w:szCs w:val="28"/>
          <w:lang w:eastAsia="zh-CN"/>
        </w:rPr>
        <w:t>项书</w:t>
      </w:r>
      <w:r>
        <w:rPr>
          <w:rFonts w:hint="default" w:ascii="Times New Roman" w:hAnsi="Times New Roman" w:eastAsia="仿宋_GB2312" w:cs="Times New Roman"/>
          <w:color w:val="auto"/>
          <w:sz w:val="28"/>
          <w:szCs w:val="28"/>
        </w:rPr>
        <w:t>[201</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号）。</w:t>
      </w:r>
      <w:r>
        <w:rPr>
          <w:rFonts w:hint="default" w:ascii="Times New Roman" w:hAnsi="Times New Roman" w:eastAsia="仿宋_GB2312" w:cs="Times New Roman"/>
          <w:color w:val="auto"/>
          <w:kern w:val="2"/>
          <w:sz w:val="28"/>
          <w:szCs w:val="28"/>
        </w:rPr>
        <w:t xml:space="preserve"> </w:t>
      </w:r>
      <w:r>
        <w:rPr>
          <w:rFonts w:hint="default" w:ascii="Times New Roman" w:hAnsi="Times New Roman" w:eastAsia="仿宋_GB2312" w:cs="Times New Roman"/>
          <w:color w:val="auto"/>
          <w:kern w:val="2"/>
          <w:sz w:val="28"/>
          <w:szCs w:val="28"/>
        </w:rPr>
        <w:t xml:space="preserve">       </w:t>
      </w:r>
    </w:p>
    <w:p>
      <w:pPr>
        <w:widowControl w:val="0"/>
        <w:wordWrap/>
        <w:adjustRightInd/>
        <w:snapToGrid w:val="0"/>
        <w:spacing w:line="240" w:lineRule="auto"/>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表 3.1-1   企业基本情况</w:t>
      </w:r>
    </w:p>
    <w:tbl>
      <w:tblPr>
        <w:tblStyle w:val="21"/>
        <w:tblW w:w="89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5"/>
        <w:gridCol w:w="3118"/>
        <w:gridCol w:w="1943"/>
        <w:gridCol w:w="23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单位名称</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江苏超力建材科技有限公司</w:t>
            </w:r>
          </w:p>
        </w:tc>
        <w:tc>
          <w:tcPr>
            <w:tcW w:w="194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统一社会信用代码</w:t>
            </w:r>
          </w:p>
        </w:tc>
        <w:tc>
          <w:tcPr>
            <w:tcW w:w="235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913203017448466668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单位地址</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徐州工业园区超越大道南侧，</w:t>
            </w:r>
          </w:p>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中经四路西侧</w:t>
            </w:r>
          </w:p>
        </w:tc>
        <w:tc>
          <w:tcPr>
            <w:tcW w:w="19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所在区</w:t>
            </w:r>
          </w:p>
        </w:tc>
        <w:tc>
          <w:tcPr>
            <w:tcW w:w="23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贾汪区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所在开发区</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徐州工业园区</w:t>
            </w:r>
          </w:p>
        </w:tc>
        <w:tc>
          <w:tcPr>
            <w:tcW w:w="19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企业性质</w:t>
            </w:r>
          </w:p>
        </w:tc>
        <w:tc>
          <w:tcPr>
            <w:tcW w:w="23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法人代表</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韩慧龙</w:t>
            </w:r>
          </w:p>
        </w:tc>
        <w:tc>
          <w:tcPr>
            <w:tcW w:w="19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邮政编码</w:t>
            </w:r>
          </w:p>
        </w:tc>
        <w:tc>
          <w:tcPr>
            <w:tcW w:w="23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221003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占地面积</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54.6亩</w:t>
            </w:r>
          </w:p>
        </w:tc>
        <w:tc>
          <w:tcPr>
            <w:tcW w:w="19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经度坐标</w:t>
            </w:r>
          </w:p>
        </w:tc>
        <w:tc>
          <w:tcPr>
            <w:tcW w:w="23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117°25′18′′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职工人数</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105</w:t>
            </w:r>
          </w:p>
        </w:tc>
        <w:tc>
          <w:tcPr>
            <w:tcW w:w="19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纬度坐标</w:t>
            </w:r>
          </w:p>
        </w:tc>
        <w:tc>
          <w:tcPr>
            <w:tcW w:w="23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34°23′58′′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企业规模</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小型</w:t>
            </w:r>
          </w:p>
        </w:tc>
        <w:tc>
          <w:tcPr>
            <w:tcW w:w="19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所属行业</w:t>
            </w:r>
          </w:p>
        </w:tc>
        <w:tc>
          <w:tcPr>
            <w:tcW w:w="23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专用化学品制造业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主要产品</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聚羧酸系外加剂</w:t>
            </w:r>
          </w:p>
        </w:tc>
        <w:tc>
          <w:tcPr>
            <w:tcW w:w="19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建厂年月</w:t>
            </w:r>
          </w:p>
        </w:tc>
        <w:tc>
          <w:tcPr>
            <w:tcW w:w="23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联系人</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童媛</w:t>
            </w:r>
          </w:p>
        </w:tc>
        <w:tc>
          <w:tcPr>
            <w:tcW w:w="19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联系电话</w:t>
            </w:r>
          </w:p>
        </w:tc>
        <w:tc>
          <w:tcPr>
            <w:tcW w:w="23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15150079997</w:t>
            </w:r>
          </w:p>
        </w:tc>
      </w:tr>
    </w:tbl>
    <w:p>
      <w:pPr>
        <w:widowControl/>
        <w:wordWrap/>
        <w:adjustRightInd w:val="0"/>
        <w:snapToGrid w:val="0"/>
        <w:spacing w:beforeLines="50" w:afterLines="50" w:line="240" w:lineRule="auto"/>
        <w:jc w:val="left"/>
        <w:textAlignment w:val="auto"/>
        <w:outlineLvl w:val="2"/>
        <w:rPr>
          <w:rFonts w:hint="default" w:ascii="Times New Roman" w:hAnsi="Times New Roman" w:eastAsia="仿宋_GB2312" w:cs="Times New Roman"/>
          <w:b/>
          <w:bCs/>
          <w:color w:val="auto"/>
          <w:kern w:val="0"/>
          <w:sz w:val="28"/>
          <w:szCs w:val="28"/>
        </w:rPr>
      </w:pPr>
      <w:bookmarkStart w:id="28" w:name="_Toc23281"/>
      <w:r>
        <w:rPr>
          <w:rFonts w:hint="default" w:ascii="Times New Roman" w:hAnsi="Times New Roman" w:eastAsia="仿宋_GB2312" w:cs="Times New Roman"/>
          <w:b/>
          <w:bCs/>
          <w:color w:val="auto"/>
          <w:kern w:val="0"/>
          <w:sz w:val="28"/>
          <w:szCs w:val="28"/>
        </w:rPr>
        <w:t>3.1.2</w:t>
      </w:r>
      <w:r>
        <w:rPr>
          <w:rFonts w:hint="eastAsia" w:ascii="Times New Roman" w:hAnsi="Times New Roman" w:eastAsia="仿宋_GB2312" w:cs="Times New Roman"/>
          <w:b/>
          <w:bCs/>
          <w:color w:val="auto"/>
          <w:kern w:val="0"/>
          <w:sz w:val="28"/>
          <w:szCs w:val="28"/>
          <w:lang w:val="en-US" w:eastAsia="zh-CN"/>
        </w:rPr>
        <w:t xml:space="preserve"> </w:t>
      </w:r>
      <w:r>
        <w:rPr>
          <w:rFonts w:hint="default" w:ascii="Times New Roman" w:hAnsi="Times New Roman" w:eastAsia="仿宋_GB2312" w:cs="Times New Roman"/>
          <w:b/>
          <w:bCs/>
          <w:color w:val="auto"/>
          <w:kern w:val="0"/>
          <w:sz w:val="28"/>
          <w:szCs w:val="28"/>
        </w:rPr>
        <w:t>自然环境概况</w:t>
      </w:r>
      <w:bookmarkEnd w:id="28"/>
    </w:p>
    <w:p>
      <w:pPr>
        <w:wordWrap/>
        <w:adjustRightInd w:val="0"/>
        <w:snapToGrid w:val="0"/>
        <w:spacing w:beforeLines="50" w:afterLines="50" w:line="240" w:lineRule="auto"/>
        <w:textAlignment w:val="auto"/>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kern w:val="0"/>
          <w:sz w:val="28"/>
          <w:szCs w:val="28"/>
        </w:rPr>
        <w:t>3.1.2</w:t>
      </w:r>
      <w:r>
        <w:rPr>
          <w:rFonts w:hint="default" w:ascii="Times New Roman" w:hAnsi="Times New Roman" w:eastAsia="仿宋_GB2312" w:cs="Times New Roman"/>
          <w:b/>
          <w:bCs/>
          <w:color w:val="auto"/>
          <w:kern w:val="0"/>
          <w:sz w:val="28"/>
          <w:szCs w:val="28"/>
          <w:lang w:val="en-US" w:eastAsia="zh-CN"/>
        </w:rPr>
        <w:t>.</w:t>
      </w:r>
      <w:r>
        <w:rPr>
          <w:rFonts w:hint="default" w:ascii="Times New Roman" w:hAnsi="Times New Roman" w:eastAsia="仿宋_GB2312" w:cs="Times New Roman"/>
          <w:b/>
          <w:bCs/>
          <w:color w:val="auto"/>
          <w:sz w:val="28"/>
          <w:szCs w:val="28"/>
        </w:rPr>
        <w:t>1</w:t>
      </w:r>
      <w:r>
        <w:rPr>
          <w:rFonts w:hint="eastAsia" w:ascii="Times New Roman" w:hAnsi="Times New Roman" w:eastAsia="仿宋_GB2312" w:cs="Times New Roman"/>
          <w:b/>
          <w:bCs/>
          <w:color w:val="auto"/>
          <w:sz w:val="28"/>
          <w:szCs w:val="28"/>
          <w:lang w:val="en-US" w:eastAsia="zh-CN"/>
        </w:rPr>
        <w:t xml:space="preserve"> </w:t>
      </w:r>
      <w:r>
        <w:rPr>
          <w:rFonts w:hint="default" w:ascii="Times New Roman" w:hAnsi="Times New Roman" w:eastAsia="仿宋_GB2312" w:cs="Times New Roman"/>
          <w:b/>
          <w:bCs/>
          <w:color w:val="auto"/>
          <w:sz w:val="28"/>
          <w:szCs w:val="28"/>
        </w:rPr>
        <w:t>地理位置</w:t>
      </w:r>
    </w:p>
    <w:p>
      <w:pPr>
        <w:widowControl w:val="0"/>
        <w:shd w:val="clear" w:color="auto" w:fill="FFFFFF"/>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徐州市位于江苏省的西北部，东经116°22'～118°40'、北纬 33°43'～34°58'之间。东西长约210km，南北宽约140km，总面积11258km</w:t>
      </w:r>
      <w:r>
        <w:rPr>
          <w:rFonts w:hint="default" w:ascii="Times New Roman" w:hAnsi="Times New Roman" w:eastAsia="仿宋_GB2312" w:cs="Times New Roman"/>
          <w:color w:val="auto"/>
          <w:sz w:val="28"/>
          <w:szCs w:val="28"/>
          <w:vertAlign w:val="superscript"/>
          <w:lang w:val="en-US" w:eastAsia="zh-CN"/>
        </w:rPr>
        <w:t>2</w:t>
      </w:r>
      <w:r>
        <w:rPr>
          <w:rFonts w:hint="default" w:ascii="Times New Roman" w:hAnsi="Times New Roman" w:eastAsia="仿宋_GB2312" w:cs="Times New Roman"/>
          <w:color w:val="auto"/>
          <w:sz w:val="28"/>
          <w:szCs w:val="28"/>
        </w:rPr>
        <w:t>，占江苏省总面积的11%。徐州地处苏、鲁、豫、皖四省交界，为东部沿海与中部地带、上海经济区与环渤海经济圈的结合部。</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东襟淮海，西接中原，南屏江淮，北扼齐鲁</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，素有</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五省通衢</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之称。京沪、陇海两大铁路在此交汇，京杭大运河傍城而过贯穿徐州南北，公路四通八达，北通京津，南达沪宁，西接兰新，东抵海滨，为全国重要水陆交通枢纽和东西、南北经济联系的重要</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十字路口</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w:t>
      </w:r>
    </w:p>
    <w:p>
      <w:pPr>
        <w:widowControl w:val="0"/>
        <w:shd w:val="clear" w:color="auto" w:fill="FFFFFF"/>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贾汪区地处东经117°l7'～117°42'，北纬 34°17'～34°32'，位于江苏省徐州市东北方向30 km处，北与山东省接壤，全区总面积690 km</w:t>
      </w:r>
      <w:r>
        <w:rPr>
          <w:rFonts w:hint="default" w:ascii="Times New Roman" w:hAnsi="Times New Roman" w:eastAsia="仿宋_GB2312" w:cs="Times New Roman"/>
          <w:color w:val="auto"/>
          <w:sz w:val="28"/>
          <w:szCs w:val="28"/>
          <w:vertAlign w:val="superscript"/>
        </w:rPr>
        <w:t>2</w:t>
      </w:r>
      <w:r>
        <w:rPr>
          <w:rFonts w:hint="default" w:ascii="Times New Roman" w:hAnsi="Times New Roman" w:eastAsia="仿宋_GB2312" w:cs="Times New Roman"/>
          <w:color w:val="auto"/>
          <w:sz w:val="28"/>
          <w:szCs w:val="28"/>
        </w:rPr>
        <w:t>。</w:t>
      </w:r>
    </w:p>
    <w:p>
      <w:pPr>
        <w:widowControl w:val="0"/>
        <w:shd w:val="clear" w:color="auto" w:fill="FFFFFF"/>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徐州市工业园区位于贾汪区南部，距徐州市老城区直线距离约 22km，距离观音机场直线距离33km，206国道从园区东侧、贾青公路从园区北侧经过，交通条件较为优越。</w:t>
      </w:r>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shd w:val="clear" w:color="auto" w:fill="FFFFFF"/>
        </w:rPr>
      </w:pPr>
      <w:r>
        <w:rPr>
          <w:rFonts w:hint="default" w:ascii="Times New Roman" w:hAnsi="Times New Roman" w:eastAsia="仿宋_GB2312" w:cs="Times New Roman"/>
          <w:color w:val="auto"/>
          <w:sz w:val="28"/>
          <w:szCs w:val="28"/>
        </w:rPr>
        <w:t>建设项目厂址位于贾汪化工产业园区超越路南侧、诺恩路西侧，具体地理位置见附图1和建设项目周围概况及环境保护目标图见附图2</w:t>
      </w:r>
      <w:r>
        <w:rPr>
          <w:rFonts w:hint="default" w:ascii="Times New Roman" w:hAnsi="Times New Roman" w:eastAsia="仿宋_GB2312" w:cs="Times New Roman"/>
          <w:color w:val="auto"/>
          <w:sz w:val="28"/>
          <w:szCs w:val="28"/>
          <w:shd w:val="clear" w:color="auto" w:fill="FFFFFF"/>
        </w:rPr>
        <w:t xml:space="preserve">。  </w:t>
      </w:r>
    </w:p>
    <w:p>
      <w:pPr>
        <w:wordWrap/>
        <w:adjustRightInd w:val="0"/>
        <w:snapToGrid w:val="0"/>
        <w:spacing w:line="240" w:lineRule="auto"/>
        <w:ind w:firstLine="200"/>
        <w:textAlignment w:val="auto"/>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kern w:val="0"/>
          <w:sz w:val="28"/>
          <w:szCs w:val="28"/>
        </w:rPr>
        <w:t>3.1.2</w:t>
      </w:r>
      <w:r>
        <w:rPr>
          <w:rFonts w:hint="default" w:ascii="Times New Roman" w:hAnsi="Times New Roman" w:eastAsia="仿宋_GB2312" w:cs="Times New Roman"/>
          <w:b/>
          <w:bCs/>
          <w:color w:val="auto"/>
          <w:kern w:val="0"/>
          <w:sz w:val="28"/>
          <w:szCs w:val="28"/>
          <w:lang w:val="en-US" w:eastAsia="zh-CN"/>
        </w:rPr>
        <w:t>.</w:t>
      </w:r>
      <w:r>
        <w:rPr>
          <w:rFonts w:hint="default" w:ascii="Times New Roman" w:hAnsi="Times New Roman" w:eastAsia="仿宋_GB2312" w:cs="Times New Roman"/>
          <w:b/>
          <w:bCs/>
          <w:color w:val="auto"/>
          <w:sz w:val="28"/>
          <w:szCs w:val="28"/>
        </w:rPr>
        <w:t>2</w:t>
      </w:r>
      <w:r>
        <w:rPr>
          <w:rFonts w:hint="eastAsia" w:ascii="Times New Roman" w:hAnsi="Times New Roman" w:eastAsia="仿宋_GB2312" w:cs="Times New Roman"/>
          <w:b/>
          <w:bCs/>
          <w:color w:val="auto"/>
          <w:sz w:val="28"/>
          <w:szCs w:val="28"/>
          <w:lang w:val="en-US" w:eastAsia="zh-CN"/>
        </w:rPr>
        <w:t xml:space="preserve"> </w:t>
      </w:r>
      <w:r>
        <w:rPr>
          <w:rFonts w:hint="default" w:ascii="Times New Roman" w:hAnsi="Times New Roman" w:eastAsia="仿宋_GB2312" w:cs="Times New Roman"/>
          <w:b/>
          <w:bCs/>
          <w:color w:val="auto"/>
          <w:sz w:val="28"/>
          <w:szCs w:val="28"/>
        </w:rPr>
        <w:t>地形、地质、地貌</w:t>
      </w:r>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贾汪地处华北平原之鲁南南缘低山--丘陵与黄淮冲积平原过渡带，地貌形态划分为两大类型：一是低山--丘陵</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残丘</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；二是山前平原及冲积平原。前者围绕贾汪煤田略呈环形展布，后者自北向南撒开呈现箕状开阔平原，境内构成不规则的对称型盆地地貌景观。地势西高东低，北高南低，略向东南缓倾。</w:t>
      </w:r>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低山--丘陵</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残丘</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属于淮阴山脉中段的一部分，一般山体低矮、顶圆坡缓，海拔标高一般l00～360m。区内主要山峰有：鸡毛山、鸡鸣山、青龙山、独山、大成山、窝山、寨山、大鹿山、龙门山、马头山和大洞山等，其中大洞山海拔标高361m，素有徐州“第一高峰”之称。</w:t>
      </w:r>
    </w:p>
    <w:p>
      <w:pPr>
        <w:pStyle w:val="10"/>
        <w:kinsoku w:val="0"/>
        <w:wordWrap/>
        <w:overflowPunct w:val="0"/>
        <w:adjustRightInd w:val="0"/>
        <w:snapToGrid w:val="0"/>
        <w:spacing w:before="0" w:beforeAutospacing="0" w:line="240" w:lineRule="auto"/>
        <w:ind w:left="0" w:firstLine="56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sz w:val="28"/>
          <w:szCs w:val="28"/>
        </w:rPr>
        <w:t>项目区内属于开阔冲--洪冲积平原，沿不牢河两侧广泛分布，平原区一般海拔标高30～35m，最低标高26m。根据贾汪区地形地貌，贾汪全区东、北两面环山，整个地形东北高、西南低，呈由东北向西南的簸箕形地势，地面坡降93在1/57～1/2138之间，东北部坡度较大，西南部坡度较小，地面标高最高为100m，低为30m，采煤塌陷地最低处只有25m，贾汪区的西南面为一马平川，一直延伸到徐州市区。贾汪区主城区居于马蹄形谷地中心。区域大地构造位置处于秦岭纬向构造带东延北分支南侧与新华夏系第二隆起带西侧之复合部。贾汪北部有河口--韩庄--铁佛沟由东向西断裂构造，其东部距我国著名的深大断裂--郯庐断裂带约40km。区内总体构造格局是徐州复式背斜呈弧形展布的北东端，构造线方向大多呈北东向。</w:t>
      </w:r>
    </w:p>
    <w:p>
      <w:pPr>
        <w:wordWrap/>
        <w:adjustRightInd w:val="0"/>
        <w:snapToGrid w:val="0"/>
        <w:spacing w:line="240" w:lineRule="auto"/>
        <w:ind w:firstLine="200"/>
        <w:textAlignment w:val="auto"/>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kern w:val="0"/>
          <w:sz w:val="28"/>
          <w:szCs w:val="28"/>
        </w:rPr>
        <w:t>3.1.2</w:t>
      </w:r>
      <w:r>
        <w:rPr>
          <w:rFonts w:hint="default" w:ascii="Times New Roman" w:hAnsi="Times New Roman" w:eastAsia="仿宋_GB2312" w:cs="Times New Roman"/>
          <w:b/>
          <w:bCs/>
          <w:color w:val="auto"/>
          <w:kern w:val="0"/>
          <w:sz w:val="28"/>
          <w:szCs w:val="28"/>
          <w:lang w:val="en-US" w:eastAsia="zh-CN"/>
        </w:rPr>
        <w:t>.</w:t>
      </w:r>
      <w:r>
        <w:rPr>
          <w:rFonts w:hint="default" w:ascii="Times New Roman" w:hAnsi="Times New Roman" w:eastAsia="仿宋_GB2312" w:cs="Times New Roman"/>
          <w:b/>
          <w:bCs/>
          <w:color w:val="auto"/>
          <w:sz w:val="28"/>
          <w:szCs w:val="28"/>
        </w:rPr>
        <w:t>3</w:t>
      </w:r>
      <w:r>
        <w:rPr>
          <w:rFonts w:hint="eastAsia" w:ascii="Times New Roman" w:hAnsi="Times New Roman" w:eastAsia="仿宋_GB2312" w:cs="Times New Roman"/>
          <w:b/>
          <w:bCs/>
          <w:color w:val="auto"/>
          <w:sz w:val="28"/>
          <w:szCs w:val="28"/>
          <w:lang w:val="en-US" w:eastAsia="zh-CN"/>
        </w:rPr>
        <w:t xml:space="preserve"> </w:t>
      </w:r>
      <w:r>
        <w:rPr>
          <w:rFonts w:hint="default" w:ascii="Times New Roman" w:hAnsi="Times New Roman" w:eastAsia="仿宋_GB2312" w:cs="Times New Roman"/>
          <w:b/>
          <w:bCs/>
          <w:color w:val="auto"/>
          <w:sz w:val="28"/>
          <w:szCs w:val="28"/>
        </w:rPr>
        <w:t>气象</w:t>
      </w:r>
    </w:p>
    <w:p>
      <w:pPr>
        <w:pStyle w:val="10"/>
        <w:kinsoku w:val="0"/>
        <w:wordWrap/>
        <w:overflowPunct w:val="0"/>
        <w:adjustRightInd w:val="0"/>
        <w:snapToGrid w:val="0"/>
        <w:spacing w:before="0" w:beforeAutospacing="0" w:line="240" w:lineRule="auto"/>
        <w:ind w:left="0" w:firstLine="560" w:firstLineChars="2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贾汪区属暖温带半湿润气候，具有长江流域和黄河流域的过渡性气候特点，气候温和，四季分明，冬寒干燥，夏热多雨，春秋季节较短且较干旱。入冬及回暖较早。年平均气温15.3℃，一月份最冷，平均气温-1.5℃，七月份最热，平均气温27℃。年均降水量800～930mm，全年降水量集中在6～8月。全年季的主导风向为偏东风，平均风速2.2m/s。年日照总时数2284～2495小时，日照率52%～57%，年均无霜期200～220天。境内常有寒潮、霜冻、旱风、冰雹等灾害性天气。</w:t>
      </w:r>
    </w:p>
    <w:p>
      <w:pPr>
        <w:wordWrap/>
        <w:adjustRightInd w:val="0"/>
        <w:snapToGrid w:val="0"/>
        <w:spacing w:line="240" w:lineRule="auto"/>
        <w:ind w:firstLine="200"/>
        <w:textAlignment w:val="auto"/>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kern w:val="0"/>
          <w:sz w:val="28"/>
          <w:szCs w:val="28"/>
        </w:rPr>
        <w:t>3.1.2</w:t>
      </w:r>
      <w:r>
        <w:rPr>
          <w:rFonts w:hint="default" w:ascii="Times New Roman" w:hAnsi="Times New Roman" w:eastAsia="仿宋_GB2312" w:cs="Times New Roman"/>
          <w:b/>
          <w:bCs/>
          <w:color w:val="auto"/>
          <w:kern w:val="0"/>
          <w:sz w:val="28"/>
          <w:szCs w:val="28"/>
          <w:lang w:val="en-US" w:eastAsia="zh-CN"/>
        </w:rPr>
        <w:t>.</w:t>
      </w:r>
      <w:r>
        <w:rPr>
          <w:rFonts w:hint="default" w:ascii="Times New Roman" w:hAnsi="Times New Roman" w:eastAsia="仿宋_GB2312" w:cs="Times New Roman"/>
          <w:b/>
          <w:bCs/>
          <w:color w:val="auto"/>
          <w:sz w:val="28"/>
          <w:szCs w:val="28"/>
        </w:rPr>
        <w:t>4</w:t>
      </w:r>
      <w:r>
        <w:rPr>
          <w:rFonts w:hint="eastAsia" w:ascii="Times New Roman" w:hAnsi="Times New Roman" w:eastAsia="仿宋_GB2312" w:cs="Times New Roman"/>
          <w:b/>
          <w:bCs/>
          <w:color w:val="auto"/>
          <w:sz w:val="28"/>
          <w:szCs w:val="28"/>
          <w:lang w:val="en-US" w:eastAsia="zh-CN"/>
        </w:rPr>
        <w:t xml:space="preserve"> </w:t>
      </w:r>
      <w:r>
        <w:rPr>
          <w:rFonts w:hint="default" w:ascii="Times New Roman" w:hAnsi="Times New Roman" w:eastAsia="仿宋_GB2312" w:cs="Times New Roman"/>
          <w:b/>
          <w:bCs/>
          <w:color w:val="auto"/>
          <w:sz w:val="28"/>
          <w:szCs w:val="28"/>
        </w:rPr>
        <w:t>河流水文</w:t>
      </w:r>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lang w:eastAsia="zh-CN"/>
        </w:rPr>
        <w:t>（</w:t>
      </w:r>
      <w:r>
        <w:rPr>
          <w:rFonts w:hint="eastAsia" w:ascii="Times New Roman" w:hAnsi="Times New Roman" w:eastAsia="仿宋_GB2312" w:cs="Times New Roman"/>
          <w:color w:val="auto"/>
          <w:sz w:val="28"/>
          <w:szCs w:val="28"/>
          <w:lang w:val="en-US" w:eastAsia="zh-CN"/>
        </w:rPr>
        <w:t>1</w:t>
      </w:r>
      <w:r>
        <w:rPr>
          <w:rFonts w:hint="eastAsia"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地表水</w:t>
      </w:r>
    </w:p>
    <w:p>
      <w:pPr>
        <w:pStyle w:val="10"/>
        <w:kinsoku w:val="0"/>
        <w:wordWrap/>
        <w:overflowPunct w:val="0"/>
        <w:adjustRightInd w:val="0"/>
        <w:snapToGrid w:val="0"/>
        <w:spacing w:before="0" w:beforeAutospacing="0" w:line="240" w:lineRule="auto"/>
        <w:ind w:left="0" w:firstLine="560" w:firstLineChars="200"/>
        <w:jc w:val="both"/>
        <w:textAlignment w:val="auto"/>
        <w:rPr>
          <w:rFonts w:hint="default" w:ascii="Times New Roman" w:hAnsi="Times New Roman" w:eastAsia="仿宋_GB2312" w:cs="Times New Roman"/>
          <w:color w:val="auto"/>
          <w:shd w:val="clear" w:color="auto" w:fill="FFFFFF"/>
        </w:rPr>
      </w:pPr>
      <w:r>
        <w:rPr>
          <w:rFonts w:hint="default" w:ascii="Times New Roman" w:hAnsi="Times New Roman" w:eastAsia="仿宋_GB2312" w:cs="Times New Roman"/>
          <w:color w:val="auto"/>
          <w:shd w:val="clear" w:color="auto" w:fill="FFFFFF"/>
        </w:rPr>
        <w:t>徐州市地处古淮河的支流沂、沭、泗诸水的下游，以黄河故道为分水岭，形成北部的沂、沭、泗水系和南部的濉、安河水系。境内河流纵横交错，湖沼、水库星罗棋布，废黄河斜穿东西，京杭大运河横贯南北，东有沂、沭诸水及骆马湖，西有夏兴、大沙河及微山湖。</w:t>
      </w:r>
    </w:p>
    <w:p>
      <w:pPr>
        <w:pStyle w:val="10"/>
        <w:kinsoku w:val="0"/>
        <w:wordWrap/>
        <w:overflowPunct w:val="0"/>
        <w:adjustRightInd w:val="0"/>
        <w:snapToGrid w:val="0"/>
        <w:spacing w:before="0" w:beforeAutospacing="0" w:line="240" w:lineRule="auto"/>
        <w:ind w:left="0" w:firstLine="560" w:firstLineChars="200"/>
        <w:jc w:val="both"/>
        <w:textAlignment w:val="auto"/>
        <w:rPr>
          <w:rFonts w:hint="default" w:ascii="Times New Roman" w:hAnsi="Times New Roman" w:eastAsia="仿宋_GB2312" w:cs="Times New Roman"/>
          <w:color w:val="auto"/>
          <w:shd w:val="clear" w:color="auto" w:fill="FFFFFF"/>
        </w:rPr>
      </w:pPr>
      <w:r>
        <w:rPr>
          <w:rFonts w:hint="default" w:ascii="Times New Roman" w:hAnsi="Times New Roman" w:eastAsia="仿宋_GB2312" w:cs="Times New Roman"/>
          <w:color w:val="auto"/>
          <w:shd w:val="clear" w:color="auto" w:fill="FFFFFF"/>
        </w:rPr>
        <w:t>项目所在区域主要河流有京杭运河、不牢河和屯头河，属京杭运河水系。</w:t>
      </w:r>
    </w:p>
    <w:p>
      <w:pPr>
        <w:pStyle w:val="10"/>
        <w:kinsoku w:val="0"/>
        <w:wordWrap/>
        <w:overflowPunct w:val="0"/>
        <w:adjustRightInd w:val="0"/>
        <w:snapToGrid w:val="0"/>
        <w:spacing w:before="0" w:beforeAutospacing="0" w:line="240" w:lineRule="auto"/>
        <w:ind w:left="0" w:firstLine="560" w:firstLineChars="200"/>
        <w:jc w:val="both"/>
        <w:textAlignment w:val="auto"/>
        <w:rPr>
          <w:rFonts w:hint="default" w:ascii="Times New Roman" w:hAnsi="Times New Roman" w:eastAsia="仿宋_GB2312" w:cs="Times New Roman"/>
          <w:color w:val="auto"/>
          <w:shd w:val="clear" w:color="auto" w:fill="FFFFFF"/>
        </w:rPr>
      </w:pPr>
      <w:r>
        <w:rPr>
          <w:rFonts w:hint="default" w:ascii="Times New Roman" w:hAnsi="Times New Roman" w:eastAsia="仿宋_GB2312" w:cs="Times New Roman"/>
          <w:color w:val="auto"/>
          <w:shd w:val="clear" w:color="auto" w:fill="FFFFFF"/>
        </w:rPr>
        <w:t>京杭运河（徐州段）上游与南四湖相通，下游与骆马湖相连，上、下游分别建有蔺家坝闸和刘山闸控制，调节水量。京杭运河具有饮用水源、航运、灌溉、行洪、纳污等多种功能，在徐州市境内全长207km。可分为湖西航道，长79km，在沛县和铜山区境内；运河不牢河段，长73km，在铜山区、贾汪区和邳州市境内；中运河，长55km，在邳州境内。京杭运河徐州段的水域功能为Ⅲ类，为南水北调东线工程的输送通道。</w:t>
      </w:r>
    </w:p>
    <w:p>
      <w:pPr>
        <w:pStyle w:val="10"/>
        <w:kinsoku w:val="0"/>
        <w:wordWrap/>
        <w:overflowPunct w:val="0"/>
        <w:adjustRightInd w:val="0"/>
        <w:snapToGrid w:val="0"/>
        <w:spacing w:before="0" w:beforeAutospacing="0" w:line="240" w:lineRule="auto"/>
        <w:ind w:left="0" w:firstLine="560" w:firstLineChars="200"/>
        <w:jc w:val="both"/>
        <w:textAlignment w:val="auto"/>
        <w:rPr>
          <w:rFonts w:hint="default" w:ascii="Times New Roman" w:hAnsi="Times New Roman" w:eastAsia="仿宋_GB2312" w:cs="Times New Roman"/>
          <w:color w:val="auto"/>
          <w:shd w:val="clear" w:color="auto" w:fill="FFFFFF"/>
        </w:rPr>
      </w:pPr>
      <w:r>
        <w:rPr>
          <w:rFonts w:hint="default" w:ascii="Times New Roman" w:hAnsi="Times New Roman" w:eastAsia="仿宋_GB2312" w:cs="Times New Roman"/>
          <w:color w:val="auto"/>
          <w:shd w:val="clear" w:color="auto" w:fill="FFFFFF"/>
        </w:rPr>
        <w:t>京杭运河徐州市区段自蔺家坝经市区北部向东至滩上集入中运河，流经市区内长度约24km。平均水位30.l5m，最高水位32.99m，最低水28.2m。平均流量l2.48m</w:t>
      </w:r>
      <w:r>
        <w:rPr>
          <w:rFonts w:hint="default" w:ascii="Times New Roman" w:hAnsi="Times New Roman" w:eastAsia="仿宋_GB2312" w:cs="Times New Roman"/>
          <w:color w:val="auto"/>
          <w:shd w:val="clear" w:color="auto" w:fill="FFFFFF"/>
          <w:vertAlign w:val="superscript"/>
        </w:rPr>
        <w:t>3</w:t>
      </w:r>
      <w:r>
        <w:rPr>
          <w:rFonts w:hint="default" w:ascii="Times New Roman" w:hAnsi="Times New Roman" w:eastAsia="仿宋_GB2312" w:cs="Times New Roman"/>
          <w:color w:val="auto"/>
          <w:shd w:val="clear" w:color="auto" w:fill="FFFFFF"/>
        </w:rPr>
        <w:t>/s，最大流量422m</w:t>
      </w:r>
      <w:r>
        <w:rPr>
          <w:rFonts w:hint="default" w:ascii="Times New Roman" w:hAnsi="Times New Roman" w:eastAsia="仿宋_GB2312" w:cs="Times New Roman"/>
          <w:color w:val="auto"/>
          <w:shd w:val="clear" w:color="auto" w:fill="FFFFFF"/>
          <w:vertAlign w:val="superscript"/>
        </w:rPr>
        <w:t>3</w:t>
      </w:r>
      <w:r>
        <w:rPr>
          <w:rFonts w:hint="default" w:ascii="Times New Roman" w:hAnsi="Times New Roman" w:eastAsia="仿宋_GB2312" w:cs="Times New Roman"/>
          <w:color w:val="auto"/>
          <w:shd w:val="clear" w:color="auto" w:fill="FFFFFF"/>
        </w:rPr>
        <w:t>/s。南水北调方案实施后，在滩上集向徐州调水量为l50m</w:t>
      </w:r>
      <w:r>
        <w:rPr>
          <w:rFonts w:hint="default" w:ascii="Times New Roman" w:hAnsi="Times New Roman" w:eastAsia="仿宋_GB2312" w:cs="Times New Roman"/>
          <w:color w:val="auto"/>
          <w:shd w:val="clear" w:color="auto" w:fill="FFFFFF"/>
          <w:vertAlign w:val="superscript"/>
        </w:rPr>
        <w:t>3</w:t>
      </w:r>
      <w:r>
        <w:rPr>
          <w:rFonts w:hint="default" w:ascii="Times New Roman" w:hAnsi="Times New Roman" w:eastAsia="仿宋_GB2312" w:cs="Times New Roman"/>
          <w:color w:val="auto"/>
          <w:shd w:val="clear" w:color="auto" w:fill="FFFFFF"/>
        </w:rPr>
        <w:t>/s。</w:t>
      </w:r>
    </w:p>
    <w:p>
      <w:pPr>
        <w:pStyle w:val="10"/>
        <w:kinsoku w:val="0"/>
        <w:wordWrap/>
        <w:overflowPunct w:val="0"/>
        <w:adjustRightInd w:val="0"/>
        <w:snapToGrid w:val="0"/>
        <w:spacing w:before="0" w:beforeAutospacing="0" w:line="240" w:lineRule="auto"/>
        <w:ind w:left="0" w:firstLine="560" w:firstLineChars="200"/>
        <w:jc w:val="both"/>
        <w:textAlignment w:val="auto"/>
        <w:rPr>
          <w:rFonts w:hint="default" w:ascii="Times New Roman" w:hAnsi="Times New Roman" w:eastAsia="仿宋_GB2312" w:cs="Times New Roman"/>
          <w:color w:val="auto"/>
          <w:shd w:val="clear" w:color="auto" w:fill="FFFFFF"/>
        </w:rPr>
      </w:pPr>
      <w:r>
        <w:rPr>
          <w:rFonts w:hint="default" w:ascii="Times New Roman" w:hAnsi="Times New Roman" w:eastAsia="仿宋_GB2312" w:cs="Times New Roman"/>
          <w:color w:val="auto"/>
          <w:shd w:val="clear" w:color="auto" w:fill="FFFFFF"/>
        </w:rPr>
        <w:t>不牢河西起大吴瓦庄涵洞到汴塘镇的大阚口进入大运河，全长 25km，是贾汪区的唯一泄洪出路。</w:t>
      </w:r>
    </w:p>
    <w:p>
      <w:pPr>
        <w:pStyle w:val="10"/>
        <w:kinsoku w:val="0"/>
        <w:wordWrap/>
        <w:overflowPunct w:val="0"/>
        <w:adjustRightInd w:val="0"/>
        <w:snapToGrid w:val="0"/>
        <w:spacing w:before="0" w:beforeAutospacing="0" w:line="240" w:lineRule="auto"/>
        <w:ind w:left="0" w:firstLine="560" w:firstLineChars="200"/>
        <w:jc w:val="both"/>
        <w:textAlignment w:val="auto"/>
        <w:rPr>
          <w:rFonts w:hint="default" w:ascii="Times New Roman" w:hAnsi="Times New Roman" w:eastAsia="仿宋_GB2312" w:cs="Times New Roman"/>
          <w:color w:val="auto"/>
          <w:shd w:val="clear" w:color="auto" w:fill="FFFFFF"/>
        </w:rPr>
      </w:pPr>
      <w:r>
        <w:rPr>
          <w:rFonts w:hint="default" w:ascii="Times New Roman" w:hAnsi="Times New Roman" w:eastAsia="仿宋_GB2312" w:cs="Times New Roman"/>
          <w:color w:val="auto"/>
          <w:shd w:val="clear" w:color="auto" w:fill="FFFFFF"/>
        </w:rPr>
        <w:t>屯头河源于徐州市铜山区大黄山，经贾汪区青山泉镇南部沿贾汪镇的镇界向东延伸，自西向东于虎庄社区南常庄闸汇入不牢河。屯头河主要接纳通过贾汪城区东、中、西排洪道排入的城区和青山泉镇的主要工业废水和生活污水，成为纳污河道。屯头河干流长14.2km，河宽48-57m，全年平均流量为2.5m</w:t>
      </w:r>
      <w:r>
        <w:rPr>
          <w:rFonts w:hint="default" w:ascii="Times New Roman" w:hAnsi="Times New Roman" w:eastAsia="仿宋_GB2312" w:cs="Times New Roman"/>
          <w:color w:val="auto"/>
          <w:shd w:val="clear" w:color="auto" w:fill="FFFFFF"/>
          <w:vertAlign w:val="superscript"/>
        </w:rPr>
        <w:t>3</w:t>
      </w:r>
      <w:r>
        <w:rPr>
          <w:rFonts w:hint="default" w:ascii="Times New Roman" w:hAnsi="Times New Roman" w:eastAsia="仿宋_GB2312" w:cs="Times New Roman"/>
          <w:color w:val="auto"/>
          <w:shd w:val="clear" w:color="auto" w:fill="FFFFFF"/>
        </w:rPr>
        <w:t xml:space="preserve"> /s，其水量主要由矿井排水和工业废水组成。</w:t>
      </w:r>
    </w:p>
    <w:p>
      <w:pPr>
        <w:pStyle w:val="10"/>
        <w:kinsoku w:val="0"/>
        <w:wordWrap/>
        <w:overflowPunct w:val="0"/>
        <w:adjustRightInd w:val="0"/>
        <w:snapToGrid w:val="0"/>
        <w:spacing w:before="0" w:beforeAutospacing="0" w:line="240" w:lineRule="auto"/>
        <w:ind w:left="0" w:firstLine="560" w:firstLineChars="200"/>
        <w:jc w:val="both"/>
        <w:textAlignment w:val="auto"/>
        <w:rPr>
          <w:rFonts w:hint="default" w:ascii="Times New Roman" w:hAnsi="Times New Roman" w:eastAsia="仿宋_GB2312" w:cs="Times New Roman"/>
          <w:color w:val="auto"/>
          <w:shd w:val="clear" w:color="auto" w:fill="FFFFFF"/>
        </w:rPr>
      </w:pPr>
      <w:r>
        <w:rPr>
          <w:rFonts w:hint="default" w:ascii="Times New Roman" w:hAnsi="Times New Roman" w:eastAsia="仿宋_GB2312" w:cs="Times New Roman"/>
          <w:color w:val="auto"/>
          <w:shd w:val="clear" w:color="auto" w:fill="FFFFFF"/>
        </w:rPr>
        <w:t>由于采矿形成多处坍塌坑，坑深约1-5m，常年积水，水深约为1-4m，最大水深约5m，水位标高约32.5m，最高水位33m。</w:t>
      </w:r>
    </w:p>
    <w:p>
      <w:pPr>
        <w:pStyle w:val="10"/>
        <w:widowControl w:val="0"/>
        <w:kinsoku w:val="0"/>
        <w:wordWrap/>
        <w:overflowPunct w:val="0"/>
        <w:adjustRightInd w:val="0"/>
        <w:snapToGrid w:val="0"/>
        <w:spacing w:before="0" w:beforeAutospacing="0" w:line="240" w:lineRule="auto"/>
        <w:ind w:left="0" w:firstLine="560" w:firstLineChars="200"/>
        <w:textAlignment w:val="auto"/>
        <w:rPr>
          <w:rFonts w:hint="default" w:ascii="Times New Roman" w:hAnsi="Times New Roman" w:eastAsia="仿宋_GB2312" w:cs="Times New Roman"/>
          <w:color w:val="auto"/>
          <w:shd w:val="clear" w:color="auto" w:fill="FFFFFF"/>
        </w:rPr>
      </w:pPr>
      <w:r>
        <w:rPr>
          <w:rFonts w:hint="default" w:ascii="Times New Roman" w:hAnsi="Times New Roman" w:eastAsia="仿宋_GB2312" w:cs="Times New Roman"/>
          <w:color w:val="auto"/>
          <w:shd w:val="clear" w:color="auto" w:fill="FFFFFF"/>
        </w:rPr>
        <w:t>（2）地下水</w:t>
      </w:r>
    </w:p>
    <w:p>
      <w:pPr>
        <w:widowControl w:val="0"/>
        <w:shd w:val="clear" w:color="auto" w:fill="FFFFFF"/>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根据区域水文地质资料，贾汪化工产业园位于华北平原南源的黄泛冲积平原，北邻鲁南山区。黄泛冲积平原是区域最主要的地貌类型，其次是由碳酸盐岩组成的低山丘陵。因此，区域地下水的赋存和分布既有平原区的水文地质特点，也有丘陵山区的水文地质特征。</w:t>
      </w:r>
    </w:p>
    <w:p>
      <w:pPr>
        <w:widowControl w:val="0"/>
        <w:shd w:val="clear" w:color="auto" w:fill="FFFFFF"/>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按含水介质岩性条件，区域地下水类型主要有：松散岩类孔隙水、岩溶水、碎屑岩类孔隙—裂隙水和岩浆岩裂隙水四种类型；按地下水埋藏条件和水力特征，又有潜水、微承压水和承压水三种分类。</w:t>
      </w:r>
    </w:p>
    <w:p>
      <w:pPr>
        <w:widowControl w:val="0"/>
        <w:shd w:val="clear" w:color="auto" w:fill="FFFFFF"/>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孔隙水主要赋存在第四系（Q）粉土、粉细砂和含钙质结核粉质粘土的孔隙中，在山前盆地和平原广泛分布，具有埋藏浅、富水程度相对均一，适宜分散开采的优点，因此，长期以来一直是周边人畜用水的主要水源。孔隙水主要接受大气降水补给，其次是地表水入渗和灌溉水以及采矿疏干排水的回渗，排泄以蒸发、人工开采和越流补给岩溶水为主，局部受采矿塌陷和矿井排水影响而向矿坑渗漏，地下水动态类型属入渗—蒸发—开采型。</w:t>
      </w:r>
    </w:p>
    <w:p>
      <w:pPr>
        <w:widowControl w:val="0"/>
        <w:shd w:val="clear" w:color="auto" w:fill="FFFFFF"/>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岩溶水含水介质为震旦系（Z）-石炭系（C2-3）碳酸盐岩，分布虽不及孔隙水均匀，但富水程度高，单井涌水量大，水质较好，适宜于集中开采，可以作为城市和大型工业供水水源；岩溶水在低山丘陵或岩溶洼地中以大气降水入渗补给为主，平原区以接受上覆孔隙水越流补给为主，主要消耗于人工开采和采矿疏干排水，局部以泉的形式排泄或向区外径流。地下水径流迅速，水交替强烈，动态类型主要为入渗—开采型。岩溶水水位埋深一般3～10m，局部自流，开采区水位埋深可大于20m，水位变化受季节影响，并和孔隙水水位有相似的变化规律，但变幅较大，在开采区，水位变化主要受开采强度控制。</w:t>
      </w:r>
    </w:p>
    <w:p>
      <w:pPr>
        <w:pStyle w:val="10"/>
        <w:widowControl w:val="0"/>
        <w:kinsoku w:val="0"/>
        <w:wordWrap/>
        <w:overflowPunct w:val="0"/>
        <w:adjustRightInd w:val="0"/>
        <w:snapToGrid w:val="0"/>
        <w:spacing w:before="0" w:beforeAutospacing="0" w:line="240" w:lineRule="auto"/>
        <w:ind w:left="0" w:firstLine="560" w:firstLineChars="200"/>
        <w:textAlignment w:val="auto"/>
        <w:rPr>
          <w:rFonts w:hint="default" w:ascii="Times New Roman" w:hAnsi="Times New Roman" w:eastAsia="仿宋_GB2312" w:cs="Times New Roman"/>
          <w:color w:val="auto"/>
          <w:shd w:val="clear" w:color="auto" w:fill="FFFFFF"/>
        </w:rPr>
      </w:pPr>
      <w:r>
        <w:rPr>
          <w:rFonts w:hint="default" w:ascii="Times New Roman" w:hAnsi="Times New Roman" w:eastAsia="仿宋_GB2312" w:cs="Times New Roman"/>
          <w:color w:val="auto"/>
          <w:sz w:val="28"/>
          <w:szCs w:val="28"/>
        </w:rPr>
        <w:t>碎屑岩类裂隙含水赋存于青白口系土门组和震旦系城山组、二迭系、白垩系－－侏罗系、下第三系碎屑岩类地层，富水性极差，单井涌水量多在100方/日以下，并多为矿化度在1-3克/升的微咸水，一般情况下无供水价值；岩浆岩裂隙水主要赋存于闪长斑岩、花岗斑岩和基性辉绿岩，含水性能较差，单井涌水量一般小于100m</w:t>
      </w:r>
      <w:r>
        <w:rPr>
          <w:rFonts w:hint="default" w:ascii="Times New Roman" w:hAnsi="Times New Roman" w:eastAsia="仿宋_GB2312" w:cs="Times New Roman"/>
          <w:color w:val="auto"/>
          <w:sz w:val="28"/>
          <w:szCs w:val="28"/>
          <w:vertAlign w:val="superscript"/>
        </w:rPr>
        <w:t>3</w:t>
      </w:r>
      <w:r>
        <w:rPr>
          <w:rFonts w:hint="default" w:ascii="Times New Roman" w:hAnsi="Times New Roman" w:eastAsia="仿宋_GB2312" w:cs="Times New Roman"/>
          <w:color w:val="auto"/>
          <w:sz w:val="28"/>
          <w:szCs w:val="28"/>
        </w:rPr>
        <w:t>/d</w:t>
      </w:r>
      <w:r>
        <w:rPr>
          <w:rFonts w:hint="default" w:ascii="Times New Roman" w:hAnsi="Times New Roman" w:eastAsia="仿宋_GB2312" w:cs="Times New Roman"/>
          <w:color w:val="auto"/>
          <w:shd w:val="clear" w:color="auto" w:fill="FFFFFF"/>
        </w:rPr>
        <w:t>。</w:t>
      </w:r>
    </w:p>
    <w:p>
      <w:pPr>
        <w:wordWrap/>
        <w:adjustRightInd w:val="0"/>
        <w:snapToGrid w:val="0"/>
        <w:spacing w:line="240" w:lineRule="auto"/>
        <w:ind w:firstLine="562" w:firstLineChars="200"/>
        <w:textAlignment w:val="auto"/>
        <w:rPr>
          <w:rFonts w:hint="default" w:ascii="Times New Roman" w:hAnsi="Times New Roman" w:eastAsia="仿宋_GB2312" w:cs="Times New Roman"/>
          <w:b/>
          <w:bCs/>
          <w:color w:val="auto"/>
          <w:sz w:val="28"/>
          <w:szCs w:val="28"/>
          <w:shd w:val="clear" w:color="auto" w:fill="FFFFFF"/>
        </w:rPr>
      </w:pPr>
      <w:r>
        <w:rPr>
          <w:rFonts w:hint="default" w:ascii="Times New Roman" w:hAnsi="Times New Roman" w:eastAsia="仿宋_GB2312" w:cs="Times New Roman"/>
          <w:b/>
          <w:bCs/>
          <w:color w:val="auto"/>
          <w:kern w:val="0"/>
          <w:sz w:val="28"/>
          <w:szCs w:val="28"/>
        </w:rPr>
        <w:t>3.1.2</w:t>
      </w:r>
      <w:r>
        <w:rPr>
          <w:rFonts w:hint="default" w:ascii="Times New Roman" w:hAnsi="Times New Roman" w:eastAsia="仿宋_GB2312" w:cs="Times New Roman"/>
          <w:b/>
          <w:bCs/>
          <w:color w:val="auto"/>
          <w:kern w:val="0"/>
          <w:sz w:val="28"/>
          <w:szCs w:val="28"/>
          <w:lang w:val="en-US" w:eastAsia="zh-CN"/>
        </w:rPr>
        <w:t>.5</w:t>
      </w:r>
      <w:r>
        <w:rPr>
          <w:rFonts w:hint="eastAsia" w:ascii="Times New Roman" w:hAnsi="Times New Roman" w:eastAsia="仿宋_GB2312" w:cs="Times New Roman"/>
          <w:b/>
          <w:bCs/>
          <w:color w:val="auto"/>
          <w:sz w:val="28"/>
          <w:szCs w:val="28"/>
          <w:shd w:val="clear" w:color="auto" w:fill="FFFFFF"/>
          <w:lang w:val="en-US" w:eastAsia="zh-CN"/>
        </w:rPr>
        <w:t xml:space="preserve"> </w:t>
      </w:r>
      <w:r>
        <w:rPr>
          <w:rFonts w:hint="default" w:ascii="Times New Roman" w:hAnsi="Times New Roman" w:eastAsia="仿宋_GB2312" w:cs="Times New Roman"/>
          <w:b/>
          <w:bCs/>
          <w:color w:val="auto"/>
          <w:sz w:val="28"/>
          <w:szCs w:val="28"/>
          <w:shd w:val="clear" w:color="auto" w:fill="FFFFFF"/>
        </w:rPr>
        <w:t>生态环境</w:t>
      </w:r>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建设项目所在区域自然植被保存比较完好，人工植被主要为水田农作物和经济林，大田农作物主要有小麦、大豆、花生、山芋、水稻等，经济林主要是蜜桃、石榴、冬枣等果树林，由于耕作年代悠久，土壤肥力较高。本地区西部和南部的低山丘陵风景秀丽，富有历史古迹，有良好的生态植被，但已遭无序采矿活动的破坏。</w:t>
      </w:r>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建设项目所在区域境内无大型野生动物和珍稀动物，野生动物有蝙蝠、蛇和鸟类等；区域水域无水产养殖。</w:t>
      </w:r>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贾汪境内矿产资源丰富，储量可观，主要有煤炭、石灰石、耐火土、白云石、钛镁矿、大理石、铅钒土、磷矿石、硅矿石等。</w:t>
      </w:r>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项目所在地附近无珍稀野生动植物分布，项目周围无重点保护的文物古迹。</w:t>
      </w:r>
    </w:p>
    <w:p>
      <w:pPr>
        <w:widowControl/>
        <w:wordWrap/>
        <w:adjustRightInd/>
        <w:snapToGrid/>
        <w:spacing w:line="240" w:lineRule="auto"/>
        <w:jc w:val="left"/>
        <w:textAlignment w:val="auto"/>
        <w:outlineLvl w:val="2"/>
        <w:rPr>
          <w:rFonts w:hint="default" w:ascii="Times New Roman" w:hAnsi="Times New Roman" w:eastAsia="仿宋" w:cs="Times New Roman"/>
          <w:b/>
          <w:bCs/>
          <w:color w:val="auto"/>
          <w:kern w:val="0"/>
          <w:sz w:val="28"/>
          <w:szCs w:val="28"/>
        </w:rPr>
      </w:pPr>
      <w:bookmarkStart w:id="29" w:name="_Toc29594"/>
      <w:r>
        <w:rPr>
          <w:rFonts w:hint="default" w:ascii="Times New Roman" w:hAnsi="Times New Roman" w:eastAsia="仿宋" w:cs="Times New Roman"/>
          <w:b/>
          <w:bCs/>
          <w:color w:val="auto"/>
          <w:kern w:val="0"/>
          <w:sz w:val="28"/>
          <w:szCs w:val="28"/>
        </w:rPr>
        <w:t>3.1.3</w:t>
      </w:r>
      <w:r>
        <w:rPr>
          <w:rFonts w:hint="eastAsia" w:ascii="Times New Roman" w:hAnsi="Times New Roman" w:eastAsia="仿宋" w:cs="Times New Roman"/>
          <w:b/>
          <w:bCs/>
          <w:color w:val="auto"/>
          <w:kern w:val="0"/>
          <w:sz w:val="28"/>
          <w:szCs w:val="28"/>
          <w:lang w:val="en-US" w:eastAsia="zh-CN"/>
        </w:rPr>
        <w:t xml:space="preserve"> </w:t>
      </w:r>
      <w:r>
        <w:rPr>
          <w:rFonts w:hint="default" w:ascii="Times New Roman" w:hAnsi="Times New Roman" w:eastAsia="仿宋" w:cs="Times New Roman"/>
          <w:b/>
          <w:bCs/>
          <w:color w:val="auto"/>
          <w:kern w:val="0"/>
          <w:sz w:val="28"/>
          <w:szCs w:val="28"/>
        </w:rPr>
        <w:t>环境功能区划</w:t>
      </w:r>
      <w:bookmarkEnd w:id="29"/>
    </w:p>
    <w:p>
      <w:pPr>
        <w:wordWrap/>
        <w:adjustRightInd/>
        <w:snapToGrid/>
        <w:spacing w:line="240" w:lineRule="auto"/>
        <w:ind w:firstLine="560" w:firstLineChars="200"/>
        <w:textAlignment w:val="auto"/>
        <w:rPr>
          <w:rFonts w:hint="eastAsia" w:ascii="Times New Roman" w:hAnsi="仿宋" w:eastAsia="仿宋" w:cs="Times New Roman"/>
          <w:color w:val="auto"/>
          <w:sz w:val="28"/>
          <w:szCs w:val="28"/>
        </w:rPr>
      </w:pPr>
      <w:r>
        <w:rPr>
          <w:rFonts w:hint="eastAsia" w:ascii="Times New Roman" w:hAnsi="仿宋" w:eastAsia="仿宋" w:cs="Times New Roman"/>
          <w:color w:val="auto"/>
          <w:sz w:val="28"/>
          <w:szCs w:val="28"/>
        </w:rPr>
        <w:t>公司所在区域环境功能区划见表3.1-2。</w:t>
      </w:r>
    </w:p>
    <w:p>
      <w:pPr>
        <w:snapToGrid w:val="0"/>
        <w:spacing w:line="500" w:lineRule="exact"/>
        <w:jc w:val="center"/>
        <w:rPr>
          <w:rFonts w:ascii="Times New Roman" w:hAnsi="Times New Roman" w:eastAsia="仿宋" w:cs="Times New Roman"/>
          <w:b/>
          <w:bCs/>
          <w:color w:val="auto"/>
          <w:sz w:val="24"/>
          <w:szCs w:val="24"/>
        </w:rPr>
      </w:pPr>
      <w:r>
        <w:rPr>
          <w:rFonts w:ascii="Times New Roman" w:hAnsi="仿宋" w:eastAsia="仿宋" w:cs="Times New Roman"/>
          <w:b/>
          <w:bCs/>
          <w:color w:val="auto"/>
          <w:sz w:val="24"/>
          <w:szCs w:val="24"/>
        </w:rPr>
        <w:t>表</w:t>
      </w:r>
      <w:r>
        <w:rPr>
          <w:rFonts w:ascii="Times New Roman" w:hAnsi="Times New Roman" w:eastAsia="仿宋" w:cs="Times New Roman"/>
          <w:b/>
          <w:bCs/>
          <w:color w:val="auto"/>
          <w:sz w:val="24"/>
          <w:szCs w:val="24"/>
        </w:rPr>
        <w:t>3.1-2</w:t>
      </w:r>
      <w:r>
        <w:rPr>
          <w:rFonts w:ascii="Times New Roman" w:hAnsi="仿宋" w:eastAsia="仿宋" w:cs="Times New Roman"/>
          <w:b/>
          <w:bCs/>
          <w:color w:val="auto"/>
          <w:sz w:val="24"/>
          <w:szCs w:val="24"/>
        </w:rPr>
        <w:t>公司所在区域环境功能区划表</w:t>
      </w:r>
    </w:p>
    <w:tbl>
      <w:tblPr>
        <w:tblStyle w:val="21"/>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7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b/>
                <w:bCs/>
                <w:color w:val="auto"/>
                <w:szCs w:val="21"/>
              </w:rPr>
            </w:pPr>
            <w:r>
              <w:rPr>
                <w:rFonts w:ascii="Times New Roman" w:hAnsi="仿宋" w:eastAsia="仿宋" w:cs="Times New Roman"/>
                <w:b/>
                <w:bCs/>
                <w:color w:val="auto"/>
                <w:szCs w:val="21"/>
              </w:rPr>
              <w:t>类别</w:t>
            </w:r>
          </w:p>
        </w:tc>
        <w:tc>
          <w:tcPr>
            <w:tcW w:w="75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eastAsia="仿宋" w:cs="Times New Roman"/>
                <w:b/>
                <w:bCs/>
                <w:color w:val="auto"/>
                <w:szCs w:val="21"/>
              </w:rPr>
            </w:pPr>
            <w:r>
              <w:rPr>
                <w:rFonts w:ascii="Times New Roman" w:hAnsi="仿宋" w:eastAsia="仿宋" w:cs="Times New Roman"/>
                <w:b/>
                <w:bCs/>
                <w:color w:val="auto"/>
                <w:szCs w:val="21"/>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rPr>
              <w:t>地表水</w:t>
            </w:r>
          </w:p>
        </w:tc>
        <w:tc>
          <w:tcPr>
            <w:tcW w:w="7554" w:type="dxa"/>
            <w:tcBorders>
              <w:top w:val="single" w:color="auto" w:sz="4" w:space="0"/>
              <w:left w:val="nil"/>
              <w:bottom w:val="single" w:color="auto" w:sz="4" w:space="0"/>
              <w:right w:val="single" w:color="auto" w:sz="4" w:space="0"/>
            </w:tcBorders>
            <w:vAlign w:val="center"/>
          </w:tcPr>
          <w:p>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rPr>
              <w:t>屯头河水质执行《地表水环境质量标准》（GB3838-2002）</w:t>
            </w:r>
            <w:r>
              <w:rPr>
                <w:rFonts w:hint="default" w:ascii="Times New Roman" w:hAnsi="Times New Roman" w:cs="Times New Roman"/>
                <w:color w:val="auto"/>
                <w:sz w:val="21"/>
                <w:szCs w:val="21"/>
              </w:rPr>
              <w:t>Ⅳ</w:t>
            </w:r>
            <w:r>
              <w:rPr>
                <w:rFonts w:hint="default" w:ascii="Times New Roman" w:hAnsi="Times New Roman" w:eastAsia="仿宋" w:cs="Times New Roman"/>
                <w:color w:val="auto"/>
                <w:sz w:val="21"/>
                <w:szCs w:val="21"/>
              </w:rPr>
              <w:t>类水质标准，其中 SS 参考《地表水资源质量标准》（SL63-94）中的四级标准。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rPr>
              <w:t>环境空气</w:t>
            </w:r>
          </w:p>
        </w:tc>
        <w:tc>
          <w:tcPr>
            <w:tcW w:w="7554" w:type="dxa"/>
            <w:tcBorders>
              <w:top w:val="single" w:color="auto" w:sz="4" w:space="0"/>
              <w:left w:val="nil"/>
              <w:bottom w:val="single" w:color="auto" w:sz="4" w:space="0"/>
              <w:right w:val="single" w:color="auto" w:sz="4" w:space="0"/>
            </w:tcBorders>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《环境空气质量标准》（GB3095-2012）二类区</w:t>
            </w:r>
          </w:p>
          <w:p>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rPr>
              <w:t>丙烯酸、醚类、巯基丙酸参照执行执行《室内空气质量标准》（GBT18883-2002）中8小时均值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rPr>
              <w:t>声环境</w:t>
            </w:r>
          </w:p>
        </w:tc>
        <w:tc>
          <w:tcPr>
            <w:tcW w:w="7554" w:type="dxa"/>
            <w:tcBorders>
              <w:top w:val="single" w:color="auto" w:sz="4" w:space="0"/>
              <w:left w:val="nil"/>
              <w:bottom w:val="single" w:color="auto" w:sz="4" w:space="0"/>
              <w:right w:val="single" w:color="auto" w:sz="4" w:space="0"/>
            </w:tcBorders>
            <w:vAlign w:val="center"/>
          </w:tcPr>
          <w:p>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rPr>
              <w:t>厂界外环境执行《声环境质量标准》（GB3096-2008）3类。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rPr>
              <w:t>地下水</w:t>
            </w:r>
          </w:p>
        </w:tc>
        <w:tc>
          <w:tcPr>
            <w:tcW w:w="7554" w:type="dxa"/>
            <w:tcBorders>
              <w:top w:val="single" w:color="auto" w:sz="4" w:space="0"/>
              <w:left w:val="nil"/>
              <w:bottom w:val="single" w:color="auto" w:sz="4" w:space="0"/>
              <w:right w:val="single" w:color="auto" w:sz="4" w:space="0"/>
            </w:tcBorders>
            <w:vAlign w:val="center"/>
          </w:tcPr>
          <w:p>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rPr>
              <w:t>《地下水质量标准》（GB/T14848-93）</w:t>
            </w:r>
            <w:r>
              <w:rPr>
                <w:rFonts w:hint="default" w:ascii="Times New Roman" w:hAnsi="Times New Roman" w:cs="Times New Roman"/>
                <w:color w:val="auto"/>
                <w:sz w:val="21"/>
                <w:szCs w:val="21"/>
              </w:rPr>
              <w:t>Ⅲ</w:t>
            </w:r>
            <w:r>
              <w:rPr>
                <w:rFonts w:hint="default" w:ascii="Times New Roman" w:hAnsi="Times New Roman" w:eastAsia="仿宋" w:cs="Times New Roman"/>
                <w:color w:val="auto"/>
                <w:sz w:val="21"/>
                <w:szCs w:val="21"/>
              </w:rPr>
              <w:t>类</w:t>
            </w:r>
          </w:p>
        </w:tc>
      </w:tr>
    </w:tbl>
    <w:p>
      <w:pPr>
        <w:pStyle w:val="5"/>
        <w:keepNext/>
        <w:keepLines/>
        <w:wordWrap/>
        <w:adjustRightInd w:val="0"/>
        <w:snapToGrid w:val="0"/>
        <w:spacing w:before="0" w:beforeAutospacing="0" w:line="360" w:lineRule="auto"/>
        <w:ind w:left="0"/>
        <w:jc w:val="both"/>
        <w:textAlignment w:val="auto"/>
        <w:rPr>
          <w:rFonts w:hint="eastAsia" w:ascii="Times New Roman"/>
          <w:b/>
          <w:bCs/>
          <w:color w:val="auto"/>
          <w:sz w:val="30"/>
          <w:szCs w:val="30"/>
        </w:rPr>
      </w:pPr>
      <w:bookmarkStart w:id="30" w:name="_Toc4908"/>
      <w:r>
        <w:rPr>
          <w:rFonts w:hint="eastAsia" w:ascii="Times New Roman"/>
          <w:b/>
          <w:bCs/>
          <w:color w:val="auto"/>
          <w:sz w:val="30"/>
          <w:szCs w:val="30"/>
        </w:rPr>
        <w:t>3.2、</w:t>
      </w:r>
      <w:r>
        <w:rPr>
          <w:rFonts w:hint="eastAsia" w:ascii="Times New Roman"/>
          <w:b/>
          <w:bCs/>
          <w:color w:val="auto"/>
          <w:sz w:val="30"/>
          <w:szCs w:val="30"/>
          <w:lang w:eastAsia="zh-CN"/>
        </w:rPr>
        <w:t>平面布置及</w:t>
      </w:r>
      <w:r>
        <w:rPr>
          <w:rFonts w:hint="eastAsia" w:ascii="Times New Roman"/>
          <w:b/>
          <w:bCs/>
          <w:color w:val="auto"/>
          <w:sz w:val="30"/>
          <w:szCs w:val="30"/>
        </w:rPr>
        <w:t>周边环境风险受体</w:t>
      </w:r>
      <w:bookmarkEnd w:id="30"/>
    </w:p>
    <w:p>
      <w:pPr>
        <w:widowControl/>
        <w:wordWrap/>
        <w:spacing w:line="360" w:lineRule="auto"/>
        <w:jc w:val="left"/>
        <w:textAlignment w:val="auto"/>
        <w:outlineLvl w:val="2"/>
        <w:rPr>
          <w:rFonts w:hint="default" w:ascii="Times New Roman" w:hAnsi="仿宋" w:eastAsia="仿宋" w:cs="Times New Roman"/>
          <w:b/>
          <w:bCs/>
          <w:color w:val="auto"/>
          <w:kern w:val="0"/>
          <w:sz w:val="28"/>
          <w:szCs w:val="28"/>
          <w:lang w:val="en-US" w:eastAsia="zh-CN"/>
        </w:rPr>
      </w:pPr>
      <w:bookmarkStart w:id="31" w:name="_Toc28930"/>
      <w:r>
        <w:rPr>
          <w:rFonts w:hint="eastAsia" w:ascii="Times New Roman" w:hAnsi="仿宋" w:eastAsia="仿宋" w:cs="Times New Roman"/>
          <w:b/>
          <w:bCs/>
          <w:color w:val="auto"/>
          <w:kern w:val="0"/>
          <w:sz w:val="28"/>
          <w:szCs w:val="28"/>
          <w:lang w:val="en-US" w:eastAsia="zh-CN"/>
        </w:rPr>
        <w:t>3.2.1</w:t>
      </w:r>
      <w:r>
        <w:rPr>
          <w:rFonts w:hint="eastAsia" w:ascii="Times New Roman" w:hAnsi="仿宋" w:eastAsia="仿宋" w:cs="Times New Roman"/>
          <w:b/>
          <w:bCs/>
          <w:color w:val="auto"/>
          <w:kern w:val="0"/>
          <w:sz w:val="28"/>
          <w:szCs w:val="28"/>
          <w:lang w:eastAsia="zh-CN"/>
        </w:rPr>
        <w:t>平面布置</w:t>
      </w:r>
      <w:bookmarkEnd w:id="31"/>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 xml:space="preserve">江苏超力建材科技有限公司技改年产 </w:t>
      </w:r>
      <w:r>
        <w:rPr>
          <w:rFonts w:hint="default" w:ascii="Times New Roman" w:hAnsi="Times New Roman" w:eastAsia="仿宋_GB2312" w:cs="Times New Roman"/>
          <w:color w:val="auto"/>
          <w:sz w:val="28"/>
          <w:szCs w:val="28"/>
          <w:lang w:val="en-US" w:eastAsia="zh-CN"/>
        </w:rPr>
        <w:t xml:space="preserve">20 </w:t>
      </w:r>
      <w:r>
        <w:rPr>
          <w:rFonts w:hint="eastAsia" w:ascii="Times New Roman" w:hAnsi="Times New Roman" w:eastAsia="仿宋_GB2312" w:cs="Times New Roman"/>
          <w:color w:val="auto"/>
          <w:sz w:val="28"/>
          <w:szCs w:val="28"/>
          <w:lang w:val="en-US" w:eastAsia="zh-CN"/>
        </w:rPr>
        <w:t>万吨聚羧酸系混凝土外加剂异地搬迁技改项目厂区主要包括厂前管理区、生产车间及仓库区、储运设施区、公用工程及辅助生产设施区。厂前管理区布置于厂区的东南侧；生产车间及仓库区布置于厂区中部位置；储运设施区布置于厂区的西北侧；公用工程及辅助生产设施区主要布置于厂区的东北部，配电室单独布置于西北侧厂区物流出入口处。</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lang w:val="en-US" w:eastAsia="zh-CN"/>
        </w:rPr>
        <w:t xml:space="preserve">整个厂区设置 </w:t>
      </w:r>
      <w:r>
        <w:rPr>
          <w:rFonts w:hint="default" w:ascii="Times New Roman" w:hAnsi="Times New Roman" w:eastAsia="仿宋_GB2312" w:cs="Times New Roman"/>
          <w:color w:val="auto"/>
          <w:sz w:val="28"/>
          <w:szCs w:val="28"/>
          <w:lang w:val="en-US" w:eastAsia="zh-CN"/>
        </w:rPr>
        <w:t xml:space="preserve">2 </w:t>
      </w:r>
      <w:r>
        <w:rPr>
          <w:rFonts w:hint="eastAsia" w:ascii="Times New Roman" w:hAnsi="Times New Roman" w:eastAsia="仿宋_GB2312" w:cs="Times New Roman"/>
          <w:color w:val="auto"/>
          <w:sz w:val="28"/>
          <w:szCs w:val="28"/>
          <w:lang w:val="en-US" w:eastAsia="zh-CN"/>
        </w:rPr>
        <w:t>个出入口，地块东侧设置为人流出入口，主要承担全厂的人流出入，在地块西南侧布置</w:t>
      </w:r>
      <w:r>
        <w:rPr>
          <w:rFonts w:hint="default" w:ascii="Times New Roman" w:hAnsi="Times New Roman" w:eastAsia="仿宋_GB2312" w:cs="Times New Roman"/>
          <w:color w:val="auto"/>
          <w:sz w:val="28"/>
          <w:szCs w:val="28"/>
          <w:lang w:val="en-US" w:eastAsia="zh-CN"/>
        </w:rPr>
        <w:t>1</w:t>
      </w:r>
      <w:r>
        <w:rPr>
          <w:rFonts w:hint="eastAsia" w:ascii="Times New Roman" w:hAnsi="Times New Roman" w:eastAsia="仿宋_GB2312" w:cs="Times New Roman"/>
          <w:color w:val="auto"/>
          <w:sz w:val="28"/>
          <w:szCs w:val="28"/>
          <w:lang w:val="en-US" w:eastAsia="zh-CN"/>
        </w:rPr>
        <w:t>个次入口用于厂区物流出入口。根据化工企业总平面布置设计规范，本项目总平面布置能满足生产工艺流程要求，遵循防火、防爆、消防、环保和安全等有关规范，并充分利用地形、地质、气象等条件，因地制宜，节约土地，使总平面布置紧凑合理，做到了远期指导近期，以近期体现远期，做到了人流、物流合理，生产区域与辅助区域功能分区明确。结合了工厂的远期发展，节约用地，充分考虑到卫生防护要求和环境保护要求。根据厂区地形特点、化工产品生产工程的特点和各类建筑物的功能，进行了合理布局、功能分区合理、处理流程通畅、有利生产、方便管理。 项目位于贾汪区化工工业园区，周围均为企业，无环境敏感目标。</w:t>
      </w:r>
      <w:r>
        <w:rPr>
          <w:rFonts w:hint="eastAsia" w:ascii="Times New Roman" w:hAnsi="Times New Roman" w:eastAsia="仿宋_GB2312" w:cs="Times New Roman"/>
          <w:color w:val="auto"/>
          <w:sz w:val="28"/>
          <w:szCs w:val="28"/>
        </w:rPr>
        <w:t>项目地理位置图、项目周围环境概况示意图、具体平面布置图见附图1～附图</w:t>
      </w:r>
      <w:r>
        <w:rPr>
          <w:rFonts w:hint="eastAsia" w:ascii="Times New Roman" w:hAnsi="Times New Roman" w:eastAsia="仿宋_GB2312" w:cs="Times New Roman"/>
          <w:color w:val="auto"/>
          <w:sz w:val="28"/>
          <w:szCs w:val="28"/>
          <w:lang w:val="en-US" w:eastAsia="zh-CN"/>
        </w:rPr>
        <w:t>2、附图4</w:t>
      </w:r>
      <w:r>
        <w:rPr>
          <w:rFonts w:hint="eastAsia" w:ascii="Times New Roman" w:hAnsi="Times New Roman" w:eastAsia="仿宋_GB2312" w:cs="Times New Roman"/>
          <w:color w:val="auto"/>
          <w:sz w:val="28"/>
          <w:szCs w:val="28"/>
        </w:rPr>
        <w:t>。</w:t>
      </w:r>
    </w:p>
    <w:p>
      <w:pPr>
        <w:widowControl/>
        <w:spacing w:before="50" w:after="50"/>
        <w:jc w:val="left"/>
        <w:outlineLvl w:val="2"/>
        <w:rPr>
          <w:rFonts w:hint="default" w:ascii="Times New Roman" w:hAnsi="仿宋" w:eastAsia="仿宋" w:cs="Times New Roman"/>
          <w:b/>
          <w:bCs/>
          <w:color w:val="auto"/>
          <w:kern w:val="0"/>
          <w:sz w:val="28"/>
          <w:szCs w:val="28"/>
          <w:lang w:val="en-US" w:eastAsia="zh-CN"/>
        </w:rPr>
      </w:pPr>
      <w:bookmarkStart w:id="32" w:name="_Toc30289"/>
      <w:r>
        <w:rPr>
          <w:rFonts w:hint="eastAsia" w:ascii="Times New Roman" w:hAnsi="仿宋" w:eastAsia="仿宋" w:cs="Times New Roman"/>
          <w:b/>
          <w:bCs/>
          <w:color w:val="auto"/>
          <w:kern w:val="0"/>
          <w:sz w:val="28"/>
          <w:szCs w:val="28"/>
          <w:lang w:val="en-US" w:eastAsia="zh-CN"/>
        </w:rPr>
        <w:t>3.2.2周边环境风险受体</w:t>
      </w:r>
      <w:bookmarkEnd w:id="32"/>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公司位于贾汪化工产业园区超越路南侧、诺恩路西侧，厂界周边3km范围内环境风险受体情况见表3.2-1。</w:t>
      </w:r>
    </w:p>
    <w:p>
      <w:pPr>
        <w:widowControl w:val="0"/>
        <w:wordWrap/>
        <w:adjustRightInd/>
        <w:snapToGrid w:val="0"/>
        <w:spacing w:beforeLines="50" w:line="240" w:lineRule="auto"/>
        <w:jc w:val="center"/>
        <w:textAlignment w:val="auto"/>
        <w:rPr>
          <w:rFonts w:ascii="Times New Roman" w:hAnsi="仿宋" w:eastAsia="仿宋" w:cs="Times New Roman"/>
          <w:b/>
          <w:bCs/>
          <w:color w:val="auto"/>
          <w:sz w:val="24"/>
          <w:szCs w:val="24"/>
        </w:rPr>
      </w:pPr>
      <w:r>
        <w:rPr>
          <w:rFonts w:ascii="Times New Roman" w:hAnsi="仿宋" w:eastAsia="仿宋" w:cs="Times New Roman"/>
          <w:b/>
          <w:bCs/>
          <w:color w:val="auto"/>
          <w:sz w:val="24"/>
          <w:szCs w:val="24"/>
        </w:rPr>
        <w:t>表</w:t>
      </w:r>
      <w:r>
        <w:rPr>
          <w:rFonts w:ascii="Times New Roman" w:hAnsi="Times New Roman" w:eastAsia="仿宋" w:cs="Times New Roman"/>
          <w:b/>
          <w:bCs/>
          <w:color w:val="auto"/>
          <w:sz w:val="24"/>
          <w:szCs w:val="24"/>
        </w:rPr>
        <w:t>3.2-1</w:t>
      </w:r>
      <w:r>
        <w:rPr>
          <w:rFonts w:ascii="Times New Roman" w:hAnsi="仿宋" w:eastAsia="仿宋" w:cs="Times New Roman"/>
          <w:b/>
          <w:bCs/>
          <w:color w:val="auto"/>
          <w:sz w:val="24"/>
          <w:szCs w:val="24"/>
        </w:rPr>
        <w:t>厂界周边</w:t>
      </w:r>
      <w:r>
        <w:rPr>
          <w:rFonts w:ascii="Times New Roman" w:hAnsi="Times New Roman" w:eastAsia="仿宋" w:cs="Times New Roman"/>
          <w:b/>
          <w:bCs/>
          <w:color w:val="auto"/>
          <w:sz w:val="24"/>
          <w:szCs w:val="24"/>
        </w:rPr>
        <w:t>3km</w:t>
      </w:r>
      <w:r>
        <w:rPr>
          <w:rFonts w:ascii="Times New Roman" w:hAnsi="仿宋" w:eastAsia="仿宋" w:cs="Times New Roman"/>
          <w:b/>
          <w:bCs/>
          <w:color w:val="auto"/>
          <w:sz w:val="24"/>
          <w:szCs w:val="24"/>
        </w:rPr>
        <w:t>范围内环境受体情况</w:t>
      </w:r>
    </w:p>
    <w:tbl>
      <w:tblPr>
        <w:tblStyle w:val="21"/>
        <w:tblW w:w="8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2269"/>
        <w:gridCol w:w="993"/>
        <w:gridCol w:w="1555"/>
        <w:gridCol w:w="2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2" w:type="dxa"/>
            <w:vAlign w:val="center"/>
          </w:tcPr>
          <w:p>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环境要素</w:t>
            </w:r>
          </w:p>
        </w:tc>
        <w:tc>
          <w:tcPr>
            <w:tcW w:w="2269" w:type="dxa"/>
            <w:vAlign w:val="center"/>
          </w:tcPr>
          <w:p>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风险评价目标</w:t>
            </w:r>
          </w:p>
        </w:tc>
        <w:tc>
          <w:tcPr>
            <w:tcW w:w="993" w:type="dxa"/>
            <w:vAlign w:val="center"/>
          </w:tcPr>
          <w:p>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方位</w:t>
            </w:r>
          </w:p>
        </w:tc>
        <w:tc>
          <w:tcPr>
            <w:tcW w:w="1555" w:type="dxa"/>
            <w:vAlign w:val="center"/>
          </w:tcPr>
          <w:p>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距离（m）</w:t>
            </w:r>
          </w:p>
        </w:tc>
        <w:tc>
          <w:tcPr>
            <w:tcW w:w="2751" w:type="dxa"/>
            <w:vAlign w:val="center"/>
          </w:tcPr>
          <w:p>
            <w:pPr>
              <w:adjustRightInd w:val="0"/>
              <w:snapToGrid w:val="0"/>
              <w:ind w:firstLine="105" w:firstLine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规模（人）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142" w:type="dxa"/>
            <w:vMerge w:val="restart"/>
            <w:vAlign w:val="center"/>
          </w:tcPr>
          <w:p>
            <w:pPr>
              <w:jc w:val="center"/>
              <w:rPr>
                <w:rFonts w:hint="default" w:ascii="Times New Roman" w:hAnsi="Times New Roman" w:eastAsia="仿宋" w:cs="Times New Roman"/>
                <w:snapToGrid w:val="0"/>
                <w:color w:val="auto"/>
                <w:kern w:val="0"/>
                <w:sz w:val="21"/>
                <w:szCs w:val="21"/>
              </w:rPr>
            </w:pPr>
            <w:r>
              <w:rPr>
                <w:rFonts w:hint="default" w:ascii="Times New Roman" w:hAnsi="Times New Roman" w:eastAsia="仿宋" w:cs="Times New Roman"/>
                <w:snapToGrid w:val="0"/>
                <w:color w:val="auto"/>
                <w:kern w:val="0"/>
                <w:sz w:val="21"/>
                <w:szCs w:val="21"/>
              </w:rPr>
              <w:t>环境空气</w:t>
            </w:r>
          </w:p>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snapToGrid w:val="0"/>
                <w:color w:val="auto"/>
                <w:kern w:val="0"/>
                <w:sz w:val="21"/>
                <w:szCs w:val="21"/>
              </w:rPr>
              <w:t>（3km）</w:t>
            </w:r>
          </w:p>
        </w:tc>
        <w:tc>
          <w:tcPr>
            <w:tcW w:w="226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韩桥小区</w:t>
            </w:r>
          </w:p>
        </w:tc>
        <w:tc>
          <w:tcPr>
            <w:tcW w:w="993"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NE</w:t>
            </w:r>
          </w:p>
        </w:tc>
        <w:tc>
          <w:tcPr>
            <w:tcW w:w="1555" w:type="dxa"/>
            <w:vAlign w:val="center"/>
          </w:tcPr>
          <w:p>
            <w:pPr>
              <w:pStyle w:val="3"/>
              <w:jc w:val="center"/>
              <w:rPr>
                <w:rFonts w:hint="default" w:ascii="Times New Roman" w:hAnsi="Times New Roman" w:eastAsia="仿宋" w:cs="Times New Roman"/>
                <w:color w:val="auto"/>
              </w:rPr>
            </w:pPr>
            <w:r>
              <w:rPr>
                <w:rFonts w:hint="default" w:ascii="Times New Roman" w:hAnsi="Times New Roman" w:eastAsia="仿宋" w:cs="Times New Roman"/>
                <w:color w:val="auto"/>
              </w:rPr>
              <w:t>400</w:t>
            </w:r>
          </w:p>
        </w:tc>
        <w:tc>
          <w:tcPr>
            <w:tcW w:w="2751"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约620人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四海人家</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w:t>
            </w:r>
          </w:p>
        </w:tc>
        <w:tc>
          <w:tcPr>
            <w:tcW w:w="1555" w:type="dxa"/>
            <w:vAlign w:val="center"/>
          </w:tcPr>
          <w:p>
            <w:pPr>
              <w:pStyle w:val="3"/>
              <w:jc w:val="center"/>
              <w:rPr>
                <w:rFonts w:hint="default" w:ascii="Times New Roman" w:hAnsi="Times New Roman" w:eastAsia="仿宋" w:cs="Times New Roman"/>
                <w:color w:val="auto"/>
              </w:rPr>
            </w:pPr>
            <w:r>
              <w:rPr>
                <w:rFonts w:hint="default" w:ascii="Times New Roman" w:hAnsi="Times New Roman" w:eastAsia="仿宋" w:cs="Times New Roman"/>
                <w:color w:val="auto"/>
              </w:rPr>
              <w:t>700</w:t>
            </w:r>
          </w:p>
        </w:tc>
        <w:tc>
          <w:tcPr>
            <w:tcW w:w="27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约1050人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碧桂园南湖湾</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E</w:t>
            </w:r>
          </w:p>
        </w:tc>
        <w:tc>
          <w:tcPr>
            <w:tcW w:w="1555" w:type="dxa"/>
            <w:vAlign w:val="center"/>
          </w:tcPr>
          <w:p>
            <w:pPr>
              <w:pStyle w:val="3"/>
              <w:jc w:val="center"/>
              <w:rPr>
                <w:rFonts w:hint="default" w:ascii="Times New Roman" w:hAnsi="Times New Roman" w:eastAsia="仿宋" w:cs="Times New Roman"/>
                <w:color w:val="auto"/>
              </w:rPr>
            </w:pPr>
            <w:r>
              <w:rPr>
                <w:rFonts w:hint="default" w:ascii="Times New Roman" w:hAnsi="Times New Roman" w:eastAsia="仿宋" w:cs="Times New Roman"/>
                <w:color w:val="auto"/>
              </w:rPr>
              <w:t>770</w:t>
            </w:r>
          </w:p>
        </w:tc>
        <w:tc>
          <w:tcPr>
            <w:tcW w:w="27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约1300人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齐缘酒店</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NE</w:t>
            </w:r>
          </w:p>
        </w:tc>
        <w:tc>
          <w:tcPr>
            <w:tcW w:w="1555" w:type="dxa"/>
            <w:vAlign w:val="center"/>
          </w:tcPr>
          <w:p>
            <w:pPr>
              <w:pStyle w:val="3"/>
              <w:jc w:val="center"/>
              <w:rPr>
                <w:rFonts w:hint="default" w:ascii="Times New Roman" w:hAnsi="Times New Roman" w:eastAsia="仿宋" w:cs="Times New Roman"/>
                <w:color w:val="auto"/>
              </w:rPr>
            </w:pPr>
            <w:r>
              <w:rPr>
                <w:rFonts w:hint="default" w:ascii="Times New Roman" w:hAnsi="Times New Roman" w:eastAsia="仿宋" w:cs="Times New Roman"/>
                <w:color w:val="auto"/>
              </w:rPr>
              <w:t>980</w:t>
            </w:r>
          </w:p>
        </w:tc>
        <w:tc>
          <w:tcPr>
            <w:tcW w:w="27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约120人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韩场村</w:t>
            </w:r>
          </w:p>
        </w:tc>
        <w:tc>
          <w:tcPr>
            <w:tcW w:w="993"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SE</w:t>
            </w:r>
          </w:p>
        </w:tc>
        <w:tc>
          <w:tcPr>
            <w:tcW w:w="1555"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1552</w:t>
            </w:r>
          </w:p>
        </w:tc>
        <w:tc>
          <w:tcPr>
            <w:tcW w:w="2751"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约860人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湖尚城</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NE</w:t>
            </w:r>
          </w:p>
        </w:tc>
        <w:tc>
          <w:tcPr>
            <w:tcW w:w="1555" w:type="dxa"/>
            <w:vAlign w:val="center"/>
          </w:tcPr>
          <w:p>
            <w:pPr>
              <w:pStyle w:val="3"/>
              <w:jc w:val="center"/>
              <w:rPr>
                <w:rFonts w:hint="default" w:ascii="Times New Roman" w:hAnsi="Times New Roman" w:eastAsia="仿宋" w:cs="Times New Roman"/>
                <w:color w:val="auto"/>
              </w:rPr>
            </w:pPr>
            <w:r>
              <w:rPr>
                <w:rFonts w:hint="default" w:ascii="Times New Roman" w:hAnsi="Times New Roman" w:eastAsia="仿宋" w:cs="Times New Roman"/>
                <w:color w:val="auto"/>
              </w:rPr>
              <w:t>1850</w:t>
            </w:r>
          </w:p>
        </w:tc>
        <w:tc>
          <w:tcPr>
            <w:tcW w:w="27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约1330人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水城华府</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E</w:t>
            </w:r>
          </w:p>
        </w:tc>
        <w:tc>
          <w:tcPr>
            <w:tcW w:w="1555" w:type="dxa"/>
            <w:vAlign w:val="center"/>
          </w:tcPr>
          <w:p>
            <w:pPr>
              <w:pStyle w:val="3"/>
              <w:jc w:val="center"/>
              <w:rPr>
                <w:rFonts w:hint="default" w:ascii="Times New Roman" w:hAnsi="Times New Roman" w:eastAsia="仿宋" w:cs="Times New Roman"/>
                <w:color w:val="auto"/>
              </w:rPr>
            </w:pPr>
            <w:r>
              <w:rPr>
                <w:rFonts w:hint="default" w:ascii="Times New Roman" w:hAnsi="Times New Roman" w:eastAsia="仿宋" w:cs="Times New Roman"/>
                <w:color w:val="auto"/>
              </w:rPr>
              <w:t>2500</w:t>
            </w:r>
          </w:p>
        </w:tc>
        <w:tc>
          <w:tcPr>
            <w:tcW w:w="27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约1030人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韩桥居委会</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SE</w:t>
            </w:r>
          </w:p>
        </w:tc>
        <w:tc>
          <w:tcPr>
            <w:tcW w:w="1555" w:type="dxa"/>
            <w:vAlign w:val="center"/>
          </w:tcPr>
          <w:p>
            <w:pPr>
              <w:pStyle w:val="3"/>
              <w:jc w:val="center"/>
              <w:rPr>
                <w:rFonts w:hint="default" w:ascii="Times New Roman" w:hAnsi="Times New Roman" w:eastAsia="仿宋" w:cs="Times New Roman"/>
                <w:color w:val="auto"/>
              </w:rPr>
            </w:pPr>
            <w:r>
              <w:rPr>
                <w:rFonts w:hint="default" w:ascii="Times New Roman" w:hAnsi="Times New Roman" w:eastAsia="仿宋" w:cs="Times New Roman"/>
                <w:color w:val="auto"/>
              </w:rPr>
              <w:t>2463</w:t>
            </w:r>
          </w:p>
        </w:tc>
        <w:tc>
          <w:tcPr>
            <w:tcW w:w="27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新立村</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NE</w:t>
            </w:r>
          </w:p>
        </w:tc>
        <w:tc>
          <w:tcPr>
            <w:tcW w:w="1555" w:type="dxa"/>
            <w:vAlign w:val="center"/>
          </w:tcPr>
          <w:p>
            <w:pPr>
              <w:pStyle w:val="3"/>
              <w:jc w:val="center"/>
              <w:rPr>
                <w:rFonts w:hint="default" w:ascii="Times New Roman" w:hAnsi="Times New Roman" w:eastAsia="仿宋" w:cs="Times New Roman"/>
                <w:color w:val="auto"/>
              </w:rPr>
            </w:pPr>
            <w:r>
              <w:rPr>
                <w:rFonts w:hint="default" w:ascii="Times New Roman" w:hAnsi="Times New Roman" w:eastAsia="仿宋" w:cs="Times New Roman"/>
                <w:color w:val="auto"/>
              </w:rPr>
              <w:t>2500</w:t>
            </w:r>
          </w:p>
        </w:tc>
        <w:tc>
          <w:tcPr>
            <w:tcW w:w="27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约258人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二机厂宿舍</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NE</w:t>
            </w:r>
          </w:p>
        </w:tc>
        <w:tc>
          <w:tcPr>
            <w:tcW w:w="1555" w:type="dxa"/>
            <w:vAlign w:val="center"/>
          </w:tcPr>
          <w:p>
            <w:pPr>
              <w:pStyle w:val="3"/>
              <w:jc w:val="center"/>
              <w:rPr>
                <w:rFonts w:hint="default" w:ascii="Times New Roman" w:hAnsi="Times New Roman" w:eastAsia="仿宋" w:cs="Times New Roman"/>
                <w:color w:val="auto"/>
              </w:rPr>
            </w:pPr>
            <w:r>
              <w:rPr>
                <w:rFonts w:hint="default" w:ascii="Times New Roman" w:hAnsi="Times New Roman" w:eastAsia="仿宋" w:cs="Times New Roman"/>
                <w:color w:val="auto"/>
              </w:rPr>
              <w:t>2450</w:t>
            </w:r>
          </w:p>
        </w:tc>
        <w:tc>
          <w:tcPr>
            <w:tcW w:w="27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约367人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四清村</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NW</w:t>
            </w:r>
          </w:p>
        </w:tc>
        <w:tc>
          <w:tcPr>
            <w:tcW w:w="1555" w:type="dxa"/>
            <w:vAlign w:val="center"/>
          </w:tcPr>
          <w:p>
            <w:pPr>
              <w:pStyle w:val="3"/>
              <w:jc w:val="center"/>
              <w:rPr>
                <w:rFonts w:hint="default" w:ascii="Times New Roman" w:hAnsi="Times New Roman" w:eastAsia="仿宋" w:cs="Times New Roman"/>
                <w:color w:val="auto"/>
              </w:rPr>
            </w:pPr>
            <w:r>
              <w:rPr>
                <w:rFonts w:hint="default" w:ascii="Times New Roman" w:hAnsi="Times New Roman" w:eastAsia="仿宋" w:cs="Times New Roman"/>
                <w:color w:val="auto"/>
              </w:rPr>
              <w:t>2667</w:t>
            </w:r>
          </w:p>
        </w:tc>
        <w:tc>
          <w:tcPr>
            <w:tcW w:w="27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约680人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南花庄</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NW</w:t>
            </w:r>
          </w:p>
        </w:tc>
        <w:tc>
          <w:tcPr>
            <w:tcW w:w="1555" w:type="dxa"/>
            <w:vAlign w:val="center"/>
          </w:tcPr>
          <w:p>
            <w:pPr>
              <w:pStyle w:val="3"/>
              <w:jc w:val="center"/>
              <w:rPr>
                <w:rFonts w:hint="default" w:ascii="Times New Roman" w:hAnsi="Times New Roman" w:eastAsia="仿宋" w:cs="Times New Roman"/>
                <w:color w:val="auto"/>
              </w:rPr>
            </w:pPr>
            <w:r>
              <w:rPr>
                <w:rFonts w:hint="default" w:ascii="Times New Roman" w:hAnsi="Times New Roman" w:eastAsia="仿宋" w:cs="Times New Roman"/>
                <w:color w:val="auto"/>
              </w:rPr>
              <w:t>2900</w:t>
            </w:r>
          </w:p>
        </w:tc>
        <w:tc>
          <w:tcPr>
            <w:tcW w:w="27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约368人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朱庄</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NW</w:t>
            </w:r>
          </w:p>
        </w:tc>
        <w:tc>
          <w:tcPr>
            <w:tcW w:w="1555" w:type="dxa"/>
            <w:vAlign w:val="center"/>
          </w:tcPr>
          <w:p>
            <w:pPr>
              <w:pStyle w:val="3"/>
              <w:jc w:val="center"/>
              <w:rPr>
                <w:rFonts w:hint="default" w:ascii="Times New Roman" w:hAnsi="Times New Roman" w:eastAsia="仿宋" w:cs="Times New Roman"/>
                <w:color w:val="auto"/>
              </w:rPr>
            </w:pPr>
            <w:r>
              <w:rPr>
                <w:rFonts w:hint="default" w:ascii="Times New Roman" w:hAnsi="Times New Roman" w:eastAsia="仿宋" w:cs="Times New Roman"/>
                <w:color w:val="auto"/>
              </w:rPr>
              <w:t>2860</w:t>
            </w:r>
          </w:p>
        </w:tc>
        <w:tc>
          <w:tcPr>
            <w:tcW w:w="27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约460人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姚庄</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NW</w:t>
            </w:r>
          </w:p>
        </w:tc>
        <w:tc>
          <w:tcPr>
            <w:tcW w:w="1555" w:type="dxa"/>
            <w:vAlign w:val="center"/>
          </w:tcPr>
          <w:p>
            <w:pPr>
              <w:pStyle w:val="3"/>
              <w:jc w:val="center"/>
              <w:rPr>
                <w:rFonts w:hint="default" w:ascii="Times New Roman" w:hAnsi="Times New Roman" w:eastAsia="仿宋" w:cs="Times New Roman"/>
                <w:color w:val="auto"/>
              </w:rPr>
            </w:pPr>
            <w:r>
              <w:rPr>
                <w:rFonts w:hint="default" w:ascii="Times New Roman" w:hAnsi="Times New Roman" w:eastAsia="仿宋" w:cs="Times New Roman"/>
                <w:color w:val="auto"/>
              </w:rPr>
              <w:t>2700</w:t>
            </w:r>
          </w:p>
        </w:tc>
        <w:tc>
          <w:tcPr>
            <w:tcW w:w="27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约480人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白集村</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w:t>
            </w:r>
          </w:p>
        </w:tc>
        <w:tc>
          <w:tcPr>
            <w:tcW w:w="1555" w:type="dxa"/>
            <w:vAlign w:val="center"/>
          </w:tcPr>
          <w:p>
            <w:pPr>
              <w:pStyle w:val="3"/>
              <w:jc w:val="center"/>
              <w:rPr>
                <w:rFonts w:hint="default" w:ascii="Times New Roman" w:hAnsi="Times New Roman" w:eastAsia="仿宋" w:cs="Times New Roman"/>
                <w:color w:val="auto"/>
              </w:rPr>
            </w:pPr>
            <w:r>
              <w:rPr>
                <w:rFonts w:hint="default" w:ascii="Times New Roman" w:hAnsi="Times New Roman" w:eastAsia="仿宋" w:cs="Times New Roman"/>
                <w:color w:val="auto"/>
              </w:rPr>
              <w:t>2600</w:t>
            </w:r>
          </w:p>
        </w:tc>
        <w:tc>
          <w:tcPr>
            <w:tcW w:w="27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约780人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白集小学</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w:t>
            </w:r>
          </w:p>
        </w:tc>
        <w:tc>
          <w:tcPr>
            <w:tcW w:w="1555" w:type="dxa"/>
            <w:vAlign w:val="center"/>
          </w:tcPr>
          <w:p>
            <w:pPr>
              <w:pStyle w:val="3"/>
              <w:jc w:val="center"/>
              <w:rPr>
                <w:rFonts w:hint="default" w:ascii="Times New Roman" w:hAnsi="Times New Roman" w:eastAsia="仿宋" w:cs="Times New Roman"/>
                <w:color w:val="auto"/>
              </w:rPr>
            </w:pPr>
            <w:r>
              <w:rPr>
                <w:rFonts w:hint="default" w:ascii="Times New Roman" w:hAnsi="Times New Roman" w:eastAsia="仿宋" w:cs="Times New Roman"/>
                <w:color w:val="auto"/>
              </w:rPr>
              <w:t>2500</w:t>
            </w:r>
          </w:p>
        </w:tc>
        <w:tc>
          <w:tcPr>
            <w:tcW w:w="27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约2800人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白集汉墓</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SW</w:t>
            </w:r>
          </w:p>
        </w:tc>
        <w:tc>
          <w:tcPr>
            <w:tcW w:w="1555" w:type="dxa"/>
            <w:vAlign w:val="center"/>
          </w:tcPr>
          <w:p>
            <w:pPr>
              <w:pStyle w:val="3"/>
              <w:jc w:val="center"/>
              <w:rPr>
                <w:rFonts w:hint="default" w:ascii="Times New Roman" w:hAnsi="Times New Roman" w:eastAsia="仿宋" w:cs="Times New Roman"/>
                <w:color w:val="auto"/>
              </w:rPr>
            </w:pPr>
            <w:r>
              <w:rPr>
                <w:rFonts w:hint="default" w:ascii="Times New Roman" w:hAnsi="Times New Roman" w:eastAsia="仿宋" w:cs="Times New Roman"/>
                <w:color w:val="auto"/>
              </w:rPr>
              <w:t>2555</w:t>
            </w:r>
          </w:p>
        </w:tc>
        <w:tc>
          <w:tcPr>
            <w:tcW w:w="27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约100人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鹿庄村</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SE</w:t>
            </w:r>
          </w:p>
        </w:tc>
        <w:tc>
          <w:tcPr>
            <w:tcW w:w="1555" w:type="dxa"/>
            <w:vAlign w:val="center"/>
          </w:tcPr>
          <w:p>
            <w:pPr>
              <w:pStyle w:val="3"/>
              <w:jc w:val="center"/>
              <w:rPr>
                <w:rFonts w:hint="default" w:ascii="Times New Roman" w:hAnsi="Times New Roman" w:eastAsia="仿宋" w:cs="Times New Roman"/>
                <w:color w:val="auto"/>
              </w:rPr>
            </w:pPr>
            <w:r>
              <w:rPr>
                <w:rFonts w:hint="default" w:ascii="Times New Roman" w:hAnsi="Times New Roman" w:eastAsia="仿宋" w:cs="Times New Roman"/>
                <w:color w:val="auto"/>
              </w:rPr>
              <w:t>2730</w:t>
            </w:r>
          </w:p>
        </w:tc>
        <w:tc>
          <w:tcPr>
            <w:tcW w:w="27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约1264人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虎庄</w:t>
            </w:r>
          </w:p>
        </w:tc>
        <w:tc>
          <w:tcPr>
            <w:tcW w:w="993"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SE</w:t>
            </w:r>
          </w:p>
        </w:tc>
        <w:tc>
          <w:tcPr>
            <w:tcW w:w="1555"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2260</w:t>
            </w:r>
          </w:p>
        </w:tc>
        <w:tc>
          <w:tcPr>
            <w:tcW w:w="2751"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约600人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 xml:space="preserve">东段庄村  </w:t>
            </w:r>
          </w:p>
        </w:tc>
        <w:tc>
          <w:tcPr>
            <w:tcW w:w="993"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NE</w:t>
            </w:r>
          </w:p>
        </w:tc>
        <w:tc>
          <w:tcPr>
            <w:tcW w:w="1555"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2810</w:t>
            </w:r>
          </w:p>
        </w:tc>
        <w:tc>
          <w:tcPr>
            <w:tcW w:w="2751"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约620人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 xml:space="preserve">两妥村  </w:t>
            </w:r>
          </w:p>
        </w:tc>
        <w:tc>
          <w:tcPr>
            <w:tcW w:w="993"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w:t>
            </w:r>
          </w:p>
        </w:tc>
        <w:tc>
          <w:tcPr>
            <w:tcW w:w="1555"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2900</w:t>
            </w:r>
          </w:p>
        </w:tc>
        <w:tc>
          <w:tcPr>
            <w:tcW w:w="2751"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约800人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潘安新村</w:t>
            </w:r>
          </w:p>
        </w:tc>
        <w:tc>
          <w:tcPr>
            <w:tcW w:w="993"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SW</w:t>
            </w:r>
          </w:p>
        </w:tc>
        <w:tc>
          <w:tcPr>
            <w:tcW w:w="1555"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2960</w:t>
            </w:r>
          </w:p>
        </w:tc>
        <w:tc>
          <w:tcPr>
            <w:tcW w:w="2751"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约830人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民馨园</w:t>
            </w:r>
          </w:p>
        </w:tc>
        <w:tc>
          <w:tcPr>
            <w:tcW w:w="993"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w:t>
            </w:r>
          </w:p>
        </w:tc>
        <w:tc>
          <w:tcPr>
            <w:tcW w:w="1555"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2750</w:t>
            </w:r>
          </w:p>
        </w:tc>
        <w:tc>
          <w:tcPr>
            <w:tcW w:w="2751"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约1460人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校东村</w:t>
            </w:r>
          </w:p>
        </w:tc>
        <w:tc>
          <w:tcPr>
            <w:tcW w:w="993"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NE</w:t>
            </w:r>
          </w:p>
        </w:tc>
        <w:tc>
          <w:tcPr>
            <w:tcW w:w="1555"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2700</w:t>
            </w:r>
          </w:p>
        </w:tc>
        <w:tc>
          <w:tcPr>
            <w:tcW w:w="2751"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约650人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42" w:type="dxa"/>
            <w:vMerge w:val="restart"/>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snapToGrid w:val="0"/>
                <w:color w:val="auto"/>
                <w:kern w:val="0"/>
                <w:sz w:val="21"/>
                <w:szCs w:val="21"/>
              </w:rPr>
              <w:t>地表水</w:t>
            </w: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屯头河</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w:t>
            </w:r>
          </w:p>
        </w:tc>
        <w:tc>
          <w:tcPr>
            <w:tcW w:w="1555"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1480</w:t>
            </w:r>
          </w:p>
        </w:tc>
        <w:tc>
          <w:tcPr>
            <w:tcW w:w="2751"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小型规模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潘安湖</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SW</w:t>
            </w:r>
          </w:p>
        </w:tc>
        <w:tc>
          <w:tcPr>
            <w:tcW w:w="1555"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2020</w:t>
            </w:r>
          </w:p>
        </w:tc>
        <w:tc>
          <w:tcPr>
            <w:tcW w:w="2751"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人工湖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小南湖</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E</w:t>
            </w:r>
          </w:p>
        </w:tc>
        <w:tc>
          <w:tcPr>
            <w:tcW w:w="1555"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1020</w:t>
            </w:r>
          </w:p>
        </w:tc>
        <w:tc>
          <w:tcPr>
            <w:tcW w:w="2751"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人工湖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42"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地下水</w:t>
            </w:r>
          </w:p>
        </w:tc>
        <w:tc>
          <w:tcPr>
            <w:tcW w:w="7568" w:type="dxa"/>
            <w:gridSpan w:val="4"/>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snapToGrid w:val="0"/>
                <w:color w:val="auto"/>
                <w:kern w:val="0"/>
                <w:sz w:val="21"/>
                <w:szCs w:val="21"/>
              </w:rPr>
              <w:t>周围20km</w:t>
            </w:r>
            <w:r>
              <w:rPr>
                <w:rFonts w:hint="default" w:ascii="Times New Roman" w:hAnsi="Times New Roman" w:eastAsia="仿宋" w:cs="Times New Roman"/>
                <w:snapToGrid w:val="0"/>
                <w:color w:val="auto"/>
                <w:kern w:val="0"/>
                <w:sz w:val="21"/>
                <w:szCs w:val="21"/>
                <w:vertAlign w:val="superscript"/>
              </w:rPr>
              <w:t>2</w:t>
            </w:r>
            <w:r>
              <w:rPr>
                <w:rFonts w:hint="default" w:ascii="Times New Roman" w:hAnsi="Times New Roman" w:eastAsia="仿宋" w:cs="Times New Roman"/>
                <w:snapToGrid w:val="0"/>
                <w:color w:val="auto"/>
                <w:kern w:val="0"/>
                <w:sz w:val="21"/>
                <w:szCs w:val="21"/>
              </w:rPr>
              <w:t>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42" w:type="dxa"/>
            <w:vMerge w:val="restart"/>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生态环境</w:t>
            </w:r>
          </w:p>
        </w:tc>
        <w:tc>
          <w:tcPr>
            <w:tcW w:w="2269"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潘安湖生态恢复区</w:t>
            </w:r>
          </w:p>
        </w:tc>
        <w:tc>
          <w:tcPr>
            <w:tcW w:w="993"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SW</w:t>
            </w:r>
          </w:p>
        </w:tc>
        <w:tc>
          <w:tcPr>
            <w:tcW w:w="1555"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1700</w:t>
            </w:r>
            <w:r>
              <w:rPr>
                <w:rFonts w:hint="default" w:ascii="Times New Roman" w:hAnsi="Times New Roman" w:eastAsia="仿宋" w:cs="Times New Roman"/>
                <w:color w:val="auto"/>
                <w:sz w:val="21"/>
                <w:szCs w:val="21"/>
              </w:rPr>
              <w:t xml:space="preserve"> m</w:t>
            </w:r>
          </w:p>
        </w:tc>
        <w:tc>
          <w:tcPr>
            <w:tcW w:w="2751"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color w:val="auto"/>
                <w:sz w:val="21"/>
                <w:szCs w:val="21"/>
              </w:rPr>
              <w:t>总面积9.6km</w:t>
            </w:r>
            <w:r>
              <w:rPr>
                <w:rFonts w:hint="default" w:ascii="Times New Roman" w:hAnsi="Times New Roman" w:eastAsia="仿宋" w:cs="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26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大洞山森林生态</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系统自然保护区</w:t>
            </w:r>
          </w:p>
        </w:tc>
        <w:tc>
          <w:tcPr>
            <w:tcW w:w="99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E</w:t>
            </w:r>
          </w:p>
        </w:tc>
        <w:tc>
          <w:tcPr>
            <w:tcW w:w="15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3700m</w:t>
            </w:r>
          </w:p>
        </w:tc>
        <w:tc>
          <w:tcPr>
            <w:tcW w:w="27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总面积39.4km</w:t>
            </w:r>
            <w:r>
              <w:rPr>
                <w:rFonts w:hint="default" w:ascii="Times New Roman" w:hAnsi="Times New Roman" w:eastAsia="仿宋" w:cs="Times New Roman"/>
                <w:color w:val="auto"/>
                <w:sz w:val="21"/>
                <w:szCs w:val="21"/>
                <w:vertAlign w:val="superscript"/>
              </w:rPr>
              <w:t>2</w:t>
            </w:r>
          </w:p>
        </w:tc>
      </w:tr>
    </w:tbl>
    <w:p>
      <w:pPr>
        <w:pStyle w:val="5"/>
        <w:keepNext/>
        <w:keepLines/>
        <w:wordWrap/>
        <w:adjustRightInd w:val="0"/>
        <w:snapToGrid w:val="0"/>
        <w:spacing w:before="0" w:beforeAutospacing="0" w:line="360" w:lineRule="auto"/>
        <w:ind w:left="0"/>
        <w:jc w:val="both"/>
        <w:textAlignment w:val="auto"/>
        <w:rPr>
          <w:rFonts w:ascii="Times New Roman" w:hAnsi="Times New Roman"/>
          <w:b/>
          <w:bCs/>
          <w:color w:val="auto"/>
          <w:sz w:val="30"/>
          <w:szCs w:val="30"/>
        </w:rPr>
      </w:pPr>
      <w:bookmarkStart w:id="33" w:name="_Toc19616"/>
      <w:r>
        <w:rPr>
          <w:rFonts w:ascii="Times New Roman" w:hAnsi="Times New Roman"/>
          <w:b/>
          <w:bCs/>
          <w:color w:val="auto"/>
          <w:sz w:val="30"/>
          <w:szCs w:val="30"/>
        </w:rPr>
        <w:t>3.3</w:t>
      </w:r>
      <w:r>
        <w:rPr>
          <w:rFonts w:hint="eastAsia" w:ascii="Times New Roman"/>
          <w:b/>
          <w:bCs/>
          <w:color w:val="auto"/>
          <w:sz w:val="30"/>
          <w:szCs w:val="30"/>
          <w:lang w:val="en-US" w:eastAsia="zh-CN"/>
        </w:rPr>
        <w:t xml:space="preserve"> </w:t>
      </w:r>
      <w:r>
        <w:rPr>
          <w:rFonts w:ascii="Times New Roman"/>
          <w:b/>
          <w:bCs/>
          <w:color w:val="auto"/>
          <w:sz w:val="30"/>
          <w:szCs w:val="30"/>
        </w:rPr>
        <w:t>涉及环境风险物质情况</w:t>
      </w:r>
      <w:bookmarkEnd w:id="33"/>
    </w:p>
    <w:p>
      <w:pPr>
        <w:widowControl/>
        <w:wordWrap/>
        <w:spacing w:beforeAutospacing="0" w:line="360" w:lineRule="auto"/>
        <w:jc w:val="left"/>
        <w:textAlignment w:val="auto"/>
        <w:outlineLvl w:val="2"/>
        <w:rPr>
          <w:rFonts w:hint="eastAsia" w:ascii="Times New Roman" w:hAnsi="仿宋" w:eastAsia="仿宋" w:cs="Times New Roman"/>
          <w:b/>
          <w:bCs/>
          <w:color w:val="auto"/>
          <w:kern w:val="0"/>
          <w:sz w:val="28"/>
          <w:szCs w:val="28"/>
        </w:rPr>
      </w:pPr>
      <w:bookmarkStart w:id="34" w:name="_Toc3821"/>
      <w:r>
        <w:rPr>
          <w:rFonts w:hint="eastAsia" w:ascii="Times New Roman" w:hAnsi="仿宋" w:eastAsia="仿宋" w:cs="Times New Roman"/>
          <w:b/>
          <w:bCs/>
          <w:color w:val="auto"/>
          <w:kern w:val="0"/>
          <w:sz w:val="28"/>
          <w:szCs w:val="28"/>
        </w:rPr>
        <w:t>3.3.1</w:t>
      </w:r>
      <w:r>
        <w:rPr>
          <w:rFonts w:hint="eastAsia" w:ascii="Times New Roman" w:hAnsi="仿宋" w:eastAsia="仿宋" w:cs="Times New Roman"/>
          <w:b/>
          <w:bCs/>
          <w:color w:val="auto"/>
          <w:kern w:val="0"/>
          <w:sz w:val="28"/>
          <w:szCs w:val="28"/>
          <w:lang w:val="en-US" w:eastAsia="zh-CN"/>
        </w:rPr>
        <w:t xml:space="preserve"> </w:t>
      </w:r>
      <w:r>
        <w:rPr>
          <w:rFonts w:hint="eastAsia" w:ascii="Times New Roman" w:hAnsi="仿宋" w:eastAsia="仿宋" w:cs="Times New Roman"/>
          <w:b/>
          <w:bCs/>
          <w:color w:val="auto"/>
          <w:kern w:val="0"/>
          <w:sz w:val="28"/>
          <w:szCs w:val="28"/>
        </w:rPr>
        <w:t>产品方案</w:t>
      </w:r>
      <w:bookmarkEnd w:id="34"/>
    </w:p>
    <w:p>
      <w:pPr>
        <w:wordWrap/>
        <w:adjustRightInd w:val="0"/>
        <w:snapToGrid w:val="0"/>
        <w:spacing w:line="240" w:lineRule="auto"/>
        <w:ind w:firstLine="560" w:firstLineChars="200"/>
        <w:textAlignment w:val="auto"/>
        <w:rPr>
          <w:rFonts w:hint="eastAsia" w:ascii="仿宋" w:hAnsi="仿宋" w:eastAsia="仿宋"/>
          <w:color w:val="auto"/>
          <w:sz w:val="28"/>
          <w:szCs w:val="28"/>
        </w:rPr>
      </w:pPr>
      <w:r>
        <w:rPr>
          <w:rFonts w:hint="default" w:ascii="Times New Roman" w:hAnsi="Times New Roman" w:eastAsia="仿宋" w:cs="Times New Roman"/>
          <w:color w:val="auto"/>
          <w:sz w:val="28"/>
          <w:szCs w:val="28"/>
        </w:rPr>
        <w:t>企业产品方案见表3.3-1</w:t>
      </w:r>
      <w:r>
        <w:rPr>
          <w:rFonts w:hint="eastAsia" w:ascii="仿宋" w:hAnsi="仿宋" w:eastAsia="仿宋"/>
          <w:color w:val="auto"/>
          <w:sz w:val="28"/>
          <w:szCs w:val="28"/>
        </w:rPr>
        <w:t>。</w:t>
      </w:r>
    </w:p>
    <w:p>
      <w:pPr>
        <w:wordWrap/>
        <w:snapToGrid w:val="0"/>
        <w:spacing w:beforeAutospacing="0" w:line="240" w:lineRule="auto"/>
        <w:jc w:val="center"/>
        <w:textAlignment w:val="auto"/>
        <w:rPr>
          <w:rFonts w:hint="eastAsia" w:ascii="Times New Roman" w:hAnsi="Times New Roman" w:eastAsia="仿宋" w:cs="Times New Roman"/>
          <w:b/>
          <w:bCs/>
          <w:color w:val="auto"/>
          <w:sz w:val="24"/>
          <w:szCs w:val="24"/>
        </w:rPr>
      </w:pPr>
      <w:r>
        <w:rPr>
          <w:rFonts w:hint="eastAsia" w:ascii="Times New Roman" w:hAnsi="Times New Roman" w:eastAsia="仿宋" w:cs="Times New Roman"/>
          <w:b/>
          <w:bCs/>
          <w:color w:val="auto"/>
          <w:sz w:val="24"/>
          <w:szCs w:val="24"/>
        </w:rPr>
        <w:t>表3.3-1企业产品方案</w:t>
      </w:r>
    </w:p>
    <w:tbl>
      <w:tblPr>
        <w:tblStyle w:val="21"/>
        <w:tblW w:w="8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7"/>
        <w:gridCol w:w="1068"/>
        <w:gridCol w:w="688"/>
        <w:gridCol w:w="1306"/>
        <w:gridCol w:w="1076"/>
        <w:gridCol w:w="1633"/>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887" w:type="dxa"/>
            <w:vAlign w:val="center"/>
          </w:tcPr>
          <w:p>
            <w:pPr>
              <w:pStyle w:val="32"/>
              <w:snapToGrid w:val="0"/>
              <w:spacing w:line="240" w:lineRule="auto"/>
              <w:rPr>
                <w:rFonts w:hint="default" w:ascii="Times New Roman" w:hAnsi="Times New Roman" w:eastAsia="仿宋" w:cs="Times New Roman"/>
                <w:color w:val="auto"/>
              </w:rPr>
            </w:pPr>
            <w:r>
              <w:rPr>
                <w:rFonts w:hint="default" w:ascii="Times New Roman" w:hAnsi="Times New Roman" w:eastAsia="仿宋" w:cs="Times New Roman"/>
                <w:color w:val="auto"/>
              </w:rPr>
              <w:t>工程名称</w:t>
            </w:r>
          </w:p>
        </w:tc>
        <w:tc>
          <w:tcPr>
            <w:tcW w:w="1068" w:type="dxa"/>
            <w:vAlign w:val="center"/>
          </w:tcPr>
          <w:p>
            <w:pPr>
              <w:pStyle w:val="32"/>
              <w:snapToGrid w:val="0"/>
              <w:spacing w:line="240" w:lineRule="auto"/>
              <w:rPr>
                <w:rFonts w:hint="default" w:ascii="Times New Roman" w:hAnsi="Times New Roman" w:eastAsia="仿宋" w:cs="Times New Roman"/>
                <w:color w:val="auto"/>
              </w:rPr>
            </w:pPr>
            <w:r>
              <w:rPr>
                <w:rFonts w:hint="default" w:ascii="Times New Roman" w:hAnsi="Times New Roman" w:eastAsia="仿宋" w:cs="Times New Roman"/>
                <w:color w:val="auto"/>
              </w:rPr>
              <w:t>产品名称</w:t>
            </w:r>
          </w:p>
        </w:tc>
        <w:tc>
          <w:tcPr>
            <w:tcW w:w="688" w:type="dxa"/>
            <w:vAlign w:val="center"/>
          </w:tcPr>
          <w:p>
            <w:pPr>
              <w:pStyle w:val="32"/>
              <w:snapToGrid w:val="0"/>
              <w:spacing w:line="240" w:lineRule="auto"/>
              <w:rPr>
                <w:rFonts w:hint="default" w:ascii="Times New Roman" w:hAnsi="Times New Roman" w:eastAsia="仿宋" w:cs="Times New Roman"/>
                <w:color w:val="auto"/>
              </w:rPr>
            </w:pPr>
            <w:r>
              <w:rPr>
                <w:rFonts w:hint="default" w:ascii="Times New Roman" w:hAnsi="Times New Roman" w:eastAsia="仿宋" w:cs="Times New Roman"/>
                <w:color w:val="auto"/>
              </w:rPr>
              <w:t>形态</w:t>
            </w:r>
          </w:p>
        </w:tc>
        <w:tc>
          <w:tcPr>
            <w:tcW w:w="1306" w:type="dxa"/>
            <w:vAlign w:val="center"/>
          </w:tcPr>
          <w:p>
            <w:pPr>
              <w:pStyle w:val="32"/>
              <w:snapToGrid w:val="0"/>
              <w:spacing w:line="240" w:lineRule="auto"/>
              <w:rPr>
                <w:rFonts w:hint="default" w:ascii="Times New Roman" w:hAnsi="Times New Roman" w:eastAsia="仿宋" w:cs="Times New Roman"/>
                <w:color w:val="auto"/>
              </w:rPr>
            </w:pPr>
            <w:r>
              <w:rPr>
                <w:rFonts w:hint="default" w:ascii="Times New Roman" w:hAnsi="Times New Roman" w:eastAsia="仿宋" w:cs="Times New Roman"/>
                <w:color w:val="auto"/>
              </w:rPr>
              <w:t>产品规格</w:t>
            </w:r>
          </w:p>
        </w:tc>
        <w:tc>
          <w:tcPr>
            <w:tcW w:w="1076" w:type="dxa"/>
            <w:vAlign w:val="center"/>
          </w:tcPr>
          <w:p>
            <w:pPr>
              <w:pStyle w:val="32"/>
              <w:snapToGrid w:val="0"/>
              <w:spacing w:line="240" w:lineRule="auto"/>
              <w:rPr>
                <w:rFonts w:hint="default" w:ascii="Times New Roman" w:hAnsi="Times New Roman" w:eastAsia="仿宋" w:cs="Times New Roman"/>
                <w:color w:val="auto"/>
              </w:rPr>
            </w:pPr>
            <w:r>
              <w:rPr>
                <w:rFonts w:hint="default" w:ascii="Times New Roman" w:hAnsi="Times New Roman" w:eastAsia="仿宋" w:cs="Times New Roman"/>
                <w:color w:val="auto"/>
              </w:rPr>
              <w:t>生产能力</w:t>
            </w:r>
          </w:p>
        </w:tc>
        <w:tc>
          <w:tcPr>
            <w:tcW w:w="1633" w:type="dxa"/>
            <w:vAlign w:val="center"/>
          </w:tcPr>
          <w:p>
            <w:pPr>
              <w:pStyle w:val="32"/>
              <w:snapToGrid w:val="0"/>
              <w:spacing w:line="240" w:lineRule="auto"/>
              <w:rPr>
                <w:rFonts w:hint="default" w:ascii="Times New Roman" w:hAnsi="Times New Roman" w:eastAsia="仿宋" w:cs="Times New Roman"/>
                <w:color w:val="auto"/>
              </w:rPr>
            </w:pPr>
            <w:r>
              <w:rPr>
                <w:rFonts w:hint="default" w:ascii="Times New Roman" w:hAnsi="Times New Roman" w:eastAsia="仿宋" w:cs="Times New Roman"/>
                <w:color w:val="auto"/>
              </w:rPr>
              <w:t>年运行时数（h）</w:t>
            </w:r>
          </w:p>
        </w:tc>
        <w:tc>
          <w:tcPr>
            <w:tcW w:w="1305" w:type="dxa"/>
            <w:vAlign w:val="center"/>
          </w:tcPr>
          <w:p>
            <w:pPr>
              <w:pStyle w:val="32"/>
              <w:snapToGrid w:val="0"/>
              <w:spacing w:line="240" w:lineRule="auto"/>
              <w:rPr>
                <w:rFonts w:hint="default" w:ascii="Times New Roman" w:hAnsi="Times New Roman" w:eastAsia="仿宋" w:cs="Times New Roman"/>
                <w:color w:val="auto"/>
              </w:rPr>
            </w:pPr>
            <w:r>
              <w:rPr>
                <w:rFonts w:hint="default" w:ascii="Times New Roman" w:hAnsi="Times New Roman" w:eastAsia="仿宋" w:cs="Times New Roman"/>
                <w:color w:val="auto"/>
              </w:rPr>
              <w:t>最大储存量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1887" w:type="dxa"/>
            <w:vAlign w:val="center"/>
          </w:tcPr>
          <w:p>
            <w:pPr>
              <w:pStyle w:val="32"/>
              <w:snapToGrid w:val="0"/>
              <w:spacing w:line="240" w:lineRule="auto"/>
              <w:rPr>
                <w:rFonts w:hint="default" w:ascii="Times New Roman" w:hAnsi="Times New Roman" w:eastAsia="仿宋" w:cs="Times New Roman"/>
                <w:b w:val="0"/>
                <w:color w:val="auto"/>
              </w:rPr>
            </w:pPr>
            <w:r>
              <w:rPr>
                <w:rFonts w:hint="default" w:ascii="Times New Roman" w:hAnsi="Times New Roman" w:eastAsia="仿宋" w:cs="Times New Roman"/>
                <w:b w:val="0"/>
                <w:color w:val="auto"/>
              </w:rPr>
              <w:t>年产20万吨聚羧酸系混凝土外加剂异地搬迁技改项目</w:t>
            </w:r>
          </w:p>
        </w:tc>
        <w:tc>
          <w:tcPr>
            <w:tcW w:w="1068" w:type="dxa"/>
            <w:vAlign w:val="center"/>
          </w:tcPr>
          <w:p>
            <w:pPr>
              <w:pStyle w:val="32"/>
              <w:snapToGrid w:val="0"/>
              <w:spacing w:line="240" w:lineRule="auto"/>
              <w:rPr>
                <w:rFonts w:hint="default" w:ascii="Times New Roman" w:hAnsi="Times New Roman" w:eastAsia="仿宋" w:cs="Times New Roman"/>
                <w:b w:val="0"/>
                <w:color w:val="auto"/>
              </w:rPr>
            </w:pPr>
            <w:r>
              <w:rPr>
                <w:rFonts w:hint="default" w:ascii="Times New Roman" w:hAnsi="Times New Roman" w:eastAsia="仿宋" w:cs="Times New Roman"/>
                <w:b w:val="0"/>
                <w:color w:val="auto"/>
              </w:rPr>
              <w:t>聚羧酸系外加剂</w:t>
            </w:r>
          </w:p>
        </w:tc>
        <w:tc>
          <w:tcPr>
            <w:tcW w:w="688" w:type="dxa"/>
            <w:vAlign w:val="center"/>
          </w:tcPr>
          <w:p>
            <w:pPr>
              <w:pStyle w:val="32"/>
              <w:snapToGrid w:val="0"/>
              <w:spacing w:line="240" w:lineRule="auto"/>
              <w:rPr>
                <w:rFonts w:hint="default" w:ascii="Times New Roman" w:hAnsi="Times New Roman" w:eastAsia="仿宋" w:cs="Times New Roman"/>
                <w:b w:val="0"/>
                <w:color w:val="auto"/>
              </w:rPr>
            </w:pPr>
            <w:r>
              <w:rPr>
                <w:rFonts w:hint="default" w:ascii="Times New Roman" w:hAnsi="Times New Roman" w:eastAsia="仿宋" w:cs="Times New Roman"/>
                <w:b w:val="0"/>
                <w:color w:val="auto"/>
              </w:rPr>
              <w:t>液态</w:t>
            </w:r>
          </w:p>
        </w:tc>
        <w:tc>
          <w:tcPr>
            <w:tcW w:w="1306" w:type="dxa"/>
            <w:vAlign w:val="center"/>
          </w:tcPr>
          <w:p>
            <w:pPr>
              <w:pStyle w:val="32"/>
              <w:snapToGrid w:val="0"/>
              <w:spacing w:line="240" w:lineRule="auto"/>
              <w:rPr>
                <w:rFonts w:hint="default" w:ascii="Times New Roman" w:hAnsi="Times New Roman" w:eastAsia="仿宋" w:cs="Times New Roman"/>
                <w:b w:val="0"/>
                <w:color w:val="auto"/>
              </w:rPr>
            </w:pPr>
            <w:r>
              <w:rPr>
                <w:rFonts w:hint="default" w:ascii="Times New Roman" w:hAnsi="Times New Roman" w:eastAsia="仿宋" w:cs="Times New Roman"/>
                <w:b w:val="0"/>
                <w:color w:val="auto"/>
              </w:rPr>
              <w:t>10~20%的聚羧酸系混凝土外加剂</w:t>
            </w:r>
          </w:p>
        </w:tc>
        <w:tc>
          <w:tcPr>
            <w:tcW w:w="1076" w:type="dxa"/>
            <w:vAlign w:val="center"/>
          </w:tcPr>
          <w:p>
            <w:pPr>
              <w:pStyle w:val="32"/>
              <w:snapToGrid w:val="0"/>
              <w:spacing w:line="240" w:lineRule="auto"/>
              <w:rPr>
                <w:rFonts w:hint="default" w:ascii="Times New Roman" w:hAnsi="Times New Roman" w:eastAsia="仿宋" w:cs="Times New Roman"/>
                <w:b w:val="0"/>
                <w:color w:val="auto"/>
              </w:rPr>
            </w:pPr>
            <w:r>
              <w:rPr>
                <w:rFonts w:hint="default" w:ascii="Times New Roman" w:hAnsi="Times New Roman" w:eastAsia="仿宋" w:cs="Times New Roman"/>
                <w:b w:val="0"/>
                <w:color w:val="auto"/>
              </w:rPr>
              <w:t>20万t/a</w:t>
            </w:r>
          </w:p>
        </w:tc>
        <w:tc>
          <w:tcPr>
            <w:tcW w:w="1633"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7920</w:t>
            </w:r>
          </w:p>
        </w:tc>
        <w:tc>
          <w:tcPr>
            <w:tcW w:w="1305"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 xml:space="preserve"> 300T</w:t>
            </w:r>
          </w:p>
        </w:tc>
      </w:tr>
    </w:tbl>
    <w:p>
      <w:pPr>
        <w:widowControl/>
        <w:wordWrap/>
        <w:spacing w:beforeAutospacing="0" w:line="360" w:lineRule="auto"/>
        <w:jc w:val="left"/>
        <w:textAlignment w:val="auto"/>
        <w:outlineLvl w:val="2"/>
        <w:rPr>
          <w:rFonts w:hint="eastAsia" w:ascii="Times New Roman" w:hAnsi="仿宋" w:eastAsia="仿宋" w:cs="Times New Roman"/>
          <w:b/>
          <w:bCs/>
          <w:color w:val="auto"/>
          <w:kern w:val="0"/>
          <w:sz w:val="28"/>
          <w:szCs w:val="28"/>
        </w:rPr>
      </w:pPr>
      <w:bookmarkStart w:id="35" w:name="_Toc20621"/>
      <w:r>
        <w:rPr>
          <w:rFonts w:hint="eastAsia" w:ascii="Times New Roman" w:hAnsi="仿宋" w:eastAsia="仿宋" w:cs="Times New Roman"/>
          <w:b/>
          <w:bCs/>
          <w:color w:val="auto"/>
          <w:kern w:val="0"/>
          <w:sz w:val="28"/>
          <w:szCs w:val="28"/>
        </w:rPr>
        <w:t>3.3.2</w:t>
      </w:r>
      <w:r>
        <w:rPr>
          <w:rFonts w:hint="eastAsia" w:ascii="Times New Roman" w:hAnsi="仿宋" w:eastAsia="仿宋" w:cs="Times New Roman"/>
          <w:b/>
          <w:bCs/>
          <w:color w:val="auto"/>
          <w:kern w:val="0"/>
          <w:sz w:val="28"/>
          <w:szCs w:val="28"/>
          <w:lang w:val="en-US" w:eastAsia="zh-CN"/>
        </w:rPr>
        <w:t xml:space="preserve"> </w:t>
      </w:r>
      <w:r>
        <w:rPr>
          <w:rFonts w:hint="eastAsia" w:ascii="Times New Roman" w:hAnsi="仿宋" w:eastAsia="仿宋" w:cs="Times New Roman"/>
          <w:b/>
          <w:bCs/>
          <w:color w:val="auto"/>
          <w:kern w:val="0"/>
          <w:sz w:val="28"/>
          <w:szCs w:val="28"/>
        </w:rPr>
        <w:t>涉及环境风险物质信息</w:t>
      </w:r>
      <w:bookmarkEnd w:id="35"/>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经调查，现阶段企业生产用原辅材料见表3.3-2，部分原辅材料理化毒理性质见表3.3-3。</w:t>
      </w:r>
    </w:p>
    <w:p>
      <w:pPr>
        <w:snapToGrid w:val="0"/>
        <w:spacing w:line="500" w:lineRule="exact"/>
        <w:jc w:val="center"/>
        <w:rPr>
          <w:rFonts w:ascii="Times New Roman" w:hAnsi="仿宋" w:eastAsia="仿宋" w:cs="Times New Roman"/>
          <w:b/>
          <w:bCs/>
          <w:color w:val="auto"/>
          <w:sz w:val="24"/>
          <w:szCs w:val="24"/>
          <w:highlight w:val="none"/>
        </w:rPr>
      </w:pPr>
    </w:p>
    <w:p>
      <w:pPr>
        <w:snapToGrid w:val="0"/>
        <w:spacing w:line="500" w:lineRule="exact"/>
        <w:jc w:val="center"/>
        <w:rPr>
          <w:rFonts w:ascii="Times New Roman" w:hAnsi="仿宋" w:eastAsia="仿宋" w:cs="Times New Roman"/>
          <w:b/>
          <w:bCs/>
          <w:color w:val="auto"/>
          <w:sz w:val="24"/>
          <w:szCs w:val="24"/>
          <w:highlight w:val="none"/>
        </w:rPr>
      </w:pPr>
    </w:p>
    <w:p>
      <w:pPr>
        <w:snapToGrid w:val="0"/>
        <w:spacing w:line="500" w:lineRule="exact"/>
        <w:jc w:val="center"/>
        <w:rPr>
          <w:rFonts w:ascii="Times New Roman" w:hAnsi="仿宋" w:eastAsia="仿宋" w:cs="Times New Roman"/>
          <w:b/>
          <w:bCs/>
          <w:color w:val="auto"/>
          <w:sz w:val="24"/>
          <w:szCs w:val="24"/>
          <w:highlight w:val="none"/>
        </w:rPr>
      </w:pPr>
      <w:r>
        <w:rPr>
          <w:rFonts w:ascii="Times New Roman" w:hAnsi="仿宋" w:eastAsia="仿宋" w:cs="Times New Roman"/>
          <w:b/>
          <w:bCs/>
          <w:color w:val="auto"/>
          <w:sz w:val="24"/>
          <w:szCs w:val="24"/>
          <w:highlight w:val="none"/>
        </w:rPr>
        <w:t>表</w:t>
      </w:r>
      <w:r>
        <w:rPr>
          <w:rFonts w:ascii="Times New Roman" w:hAnsi="Times New Roman" w:eastAsia="仿宋" w:cs="Times New Roman"/>
          <w:b/>
          <w:bCs/>
          <w:color w:val="auto"/>
          <w:sz w:val="24"/>
          <w:szCs w:val="24"/>
          <w:highlight w:val="none"/>
        </w:rPr>
        <w:t>3.3-2</w:t>
      </w:r>
      <w:r>
        <w:rPr>
          <w:rFonts w:ascii="Times New Roman" w:hAnsi="仿宋" w:eastAsia="仿宋" w:cs="Times New Roman"/>
          <w:b/>
          <w:bCs/>
          <w:color w:val="auto"/>
          <w:sz w:val="24"/>
          <w:szCs w:val="24"/>
          <w:highlight w:val="none"/>
        </w:rPr>
        <w:t>现阶段企业生产用原辅材料一览表</w:t>
      </w:r>
    </w:p>
    <w:tbl>
      <w:tblPr>
        <w:tblStyle w:val="21"/>
        <w:tblW w:w="9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838"/>
        <w:gridCol w:w="850"/>
        <w:gridCol w:w="1064"/>
        <w:gridCol w:w="1127"/>
        <w:gridCol w:w="1170"/>
        <w:gridCol w:w="133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Align w:val="center"/>
          </w:tcPr>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1838" w:type="dxa"/>
            <w:vAlign w:val="center"/>
          </w:tcPr>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名称</w:t>
            </w:r>
          </w:p>
        </w:tc>
        <w:tc>
          <w:tcPr>
            <w:tcW w:w="850" w:type="dxa"/>
            <w:vAlign w:val="center"/>
          </w:tcPr>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物质</w:t>
            </w:r>
          </w:p>
        </w:tc>
        <w:tc>
          <w:tcPr>
            <w:tcW w:w="1064" w:type="dxa"/>
            <w:vAlign w:val="center"/>
          </w:tcPr>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规格</w:t>
            </w:r>
          </w:p>
        </w:tc>
        <w:tc>
          <w:tcPr>
            <w:tcW w:w="1127" w:type="dxa"/>
            <w:vAlign w:val="center"/>
          </w:tcPr>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单耗</w:t>
            </w:r>
          </w:p>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(t/t产品)</w:t>
            </w:r>
          </w:p>
        </w:tc>
        <w:tc>
          <w:tcPr>
            <w:tcW w:w="1170" w:type="dxa"/>
            <w:vAlign w:val="center"/>
          </w:tcPr>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年消耗量</w:t>
            </w:r>
          </w:p>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（万吨）</w:t>
            </w:r>
          </w:p>
        </w:tc>
        <w:tc>
          <w:tcPr>
            <w:tcW w:w="1330" w:type="dxa"/>
            <w:vAlign w:val="top"/>
          </w:tcPr>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储存单元最大储存量</w:t>
            </w:r>
          </w:p>
        </w:tc>
        <w:tc>
          <w:tcPr>
            <w:tcW w:w="1140" w:type="dxa"/>
            <w:vAlign w:val="center"/>
          </w:tcPr>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来源及运输方式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92"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838" w:type="dxa"/>
            <w:vAlign w:val="center"/>
          </w:tcPr>
          <w:p>
            <w:pPr>
              <w:adjustRightInd w:val="0"/>
              <w:snapToGrid w:val="0"/>
              <w:ind w:left="-145" w:leftChars="-69" w:right="-107" w:rightChars="-51"/>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双键异构的</w:t>
            </w:r>
          </w:p>
          <w:p>
            <w:pPr>
              <w:adjustRightInd w:val="0"/>
              <w:snapToGrid w:val="0"/>
              <w:ind w:left="-145" w:leftChars="-69" w:right="-107" w:rightChars="-51"/>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不饱和醇聚醚</w:t>
            </w:r>
          </w:p>
        </w:tc>
        <w:tc>
          <w:tcPr>
            <w:tcW w:w="85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w:t>
            </w:r>
          </w:p>
        </w:tc>
        <w:tc>
          <w:tcPr>
            <w:tcW w:w="106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60%</w:t>
            </w:r>
          </w:p>
        </w:tc>
        <w:tc>
          <w:tcPr>
            <w:tcW w:w="1127"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0.66333</w:t>
            </w:r>
          </w:p>
        </w:tc>
        <w:tc>
          <w:tcPr>
            <w:tcW w:w="117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66333</w:t>
            </w:r>
          </w:p>
        </w:tc>
        <w:tc>
          <w:tcPr>
            <w:tcW w:w="1330" w:type="dxa"/>
            <w:vAlign w:val="center"/>
          </w:tcPr>
          <w:p>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320</w:t>
            </w:r>
          </w:p>
        </w:tc>
        <w:tc>
          <w:tcPr>
            <w:tcW w:w="114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838"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丙烯酸</w:t>
            </w:r>
          </w:p>
        </w:tc>
        <w:tc>
          <w:tcPr>
            <w:tcW w:w="85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w:t>
            </w:r>
          </w:p>
        </w:tc>
        <w:tc>
          <w:tcPr>
            <w:tcW w:w="106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98%</w:t>
            </w:r>
          </w:p>
        </w:tc>
        <w:tc>
          <w:tcPr>
            <w:tcW w:w="1127"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0.044</w:t>
            </w:r>
          </w:p>
        </w:tc>
        <w:tc>
          <w:tcPr>
            <w:tcW w:w="117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4400</w:t>
            </w:r>
          </w:p>
        </w:tc>
        <w:tc>
          <w:tcPr>
            <w:tcW w:w="1330" w:type="dxa"/>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90</w:t>
            </w:r>
          </w:p>
        </w:tc>
        <w:tc>
          <w:tcPr>
            <w:tcW w:w="114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838"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葡萄糖酸钠</w:t>
            </w:r>
          </w:p>
        </w:tc>
        <w:tc>
          <w:tcPr>
            <w:tcW w:w="85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w:t>
            </w:r>
          </w:p>
        </w:tc>
        <w:tc>
          <w:tcPr>
            <w:tcW w:w="106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tc>
        <w:tc>
          <w:tcPr>
            <w:tcW w:w="1127"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0.03</w:t>
            </w:r>
          </w:p>
        </w:tc>
        <w:tc>
          <w:tcPr>
            <w:tcW w:w="117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3000</w:t>
            </w:r>
          </w:p>
        </w:tc>
        <w:tc>
          <w:tcPr>
            <w:tcW w:w="1330" w:type="dxa"/>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120</w:t>
            </w:r>
          </w:p>
        </w:tc>
        <w:tc>
          <w:tcPr>
            <w:tcW w:w="114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92"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838"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液碱</w:t>
            </w:r>
          </w:p>
        </w:tc>
        <w:tc>
          <w:tcPr>
            <w:tcW w:w="85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w:t>
            </w:r>
          </w:p>
        </w:tc>
        <w:tc>
          <w:tcPr>
            <w:tcW w:w="106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32%</w:t>
            </w:r>
          </w:p>
        </w:tc>
        <w:tc>
          <w:tcPr>
            <w:tcW w:w="1127"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0.035</w:t>
            </w:r>
          </w:p>
        </w:tc>
        <w:tc>
          <w:tcPr>
            <w:tcW w:w="117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3500</w:t>
            </w:r>
          </w:p>
        </w:tc>
        <w:tc>
          <w:tcPr>
            <w:tcW w:w="1330" w:type="dxa"/>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70</w:t>
            </w:r>
          </w:p>
        </w:tc>
        <w:tc>
          <w:tcPr>
            <w:tcW w:w="114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838"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去离子水</w:t>
            </w:r>
          </w:p>
        </w:tc>
        <w:tc>
          <w:tcPr>
            <w:tcW w:w="85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w:t>
            </w:r>
          </w:p>
        </w:tc>
        <w:tc>
          <w:tcPr>
            <w:tcW w:w="106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1127"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0.24887</w:t>
            </w:r>
          </w:p>
        </w:tc>
        <w:tc>
          <w:tcPr>
            <w:tcW w:w="117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24887</w:t>
            </w:r>
          </w:p>
        </w:tc>
        <w:tc>
          <w:tcPr>
            <w:tcW w:w="1330" w:type="dxa"/>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60</w:t>
            </w:r>
          </w:p>
        </w:tc>
        <w:tc>
          <w:tcPr>
            <w:tcW w:w="114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自制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1838"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双氧水</w:t>
            </w:r>
          </w:p>
        </w:tc>
        <w:tc>
          <w:tcPr>
            <w:tcW w:w="85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w:t>
            </w:r>
          </w:p>
        </w:tc>
        <w:tc>
          <w:tcPr>
            <w:tcW w:w="106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35%</w:t>
            </w:r>
          </w:p>
        </w:tc>
        <w:tc>
          <w:tcPr>
            <w:tcW w:w="1127"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0.004</w:t>
            </w:r>
          </w:p>
        </w:tc>
        <w:tc>
          <w:tcPr>
            <w:tcW w:w="117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400</w:t>
            </w:r>
          </w:p>
        </w:tc>
        <w:tc>
          <w:tcPr>
            <w:tcW w:w="1330" w:type="dxa"/>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9</w:t>
            </w:r>
          </w:p>
        </w:tc>
        <w:tc>
          <w:tcPr>
            <w:tcW w:w="114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w:t>
            </w:r>
          </w:p>
        </w:tc>
        <w:tc>
          <w:tcPr>
            <w:tcW w:w="1838"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维生素C</w:t>
            </w:r>
          </w:p>
        </w:tc>
        <w:tc>
          <w:tcPr>
            <w:tcW w:w="85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w:t>
            </w:r>
          </w:p>
        </w:tc>
        <w:tc>
          <w:tcPr>
            <w:tcW w:w="106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99%</w:t>
            </w:r>
          </w:p>
        </w:tc>
        <w:tc>
          <w:tcPr>
            <w:tcW w:w="1127"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0.001</w:t>
            </w:r>
          </w:p>
        </w:tc>
        <w:tc>
          <w:tcPr>
            <w:tcW w:w="117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1330" w:type="dxa"/>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w:t>
            </w:r>
          </w:p>
        </w:tc>
        <w:tc>
          <w:tcPr>
            <w:tcW w:w="114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1838"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巯基丙酸</w:t>
            </w:r>
          </w:p>
        </w:tc>
        <w:tc>
          <w:tcPr>
            <w:tcW w:w="85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w:t>
            </w:r>
          </w:p>
        </w:tc>
        <w:tc>
          <w:tcPr>
            <w:tcW w:w="106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99%</w:t>
            </w:r>
          </w:p>
        </w:tc>
        <w:tc>
          <w:tcPr>
            <w:tcW w:w="1127"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0.0019</w:t>
            </w:r>
          </w:p>
        </w:tc>
        <w:tc>
          <w:tcPr>
            <w:tcW w:w="117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380</w:t>
            </w:r>
          </w:p>
        </w:tc>
        <w:tc>
          <w:tcPr>
            <w:tcW w:w="1330" w:type="dxa"/>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w:t>
            </w:r>
          </w:p>
        </w:tc>
        <w:tc>
          <w:tcPr>
            <w:tcW w:w="114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汽运</w:t>
            </w:r>
          </w:p>
        </w:tc>
      </w:tr>
    </w:tbl>
    <w:p>
      <w:pPr>
        <w:snapToGrid w:val="0"/>
        <w:spacing w:line="500" w:lineRule="exact"/>
        <w:jc w:val="center"/>
        <w:rPr>
          <w:rFonts w:hint="eastAsia" w:ascii="Times New Roman" w:hAnsi="仿宋" w:eastAsia="仿宋" w:cs="Times New Roman"/>
          <w:b/>
          <w:bCs/>
          <w:color w:val="auto"/>
          <w:sz w:val="24"/>
          <w:szCs w:val="24"/>
          <w:highlight w:val="none"/>
        </w:rPr>
      </w:pPr>
      <w:r>
        <w:rPr>
          <w:rFonts w:hint="eastAsia" w:ascii="Times New Roman" w:hAnsi="仿宋" w:eastAsia="仿宋" w:cs="Times New Roman"/>
          <w:b/>
          <w:bCs/>
          <w:color w:val="auto"/>
          <w:sz w:val="24"/>
          <w:szCs w:val="24"/>
          <w:highlight w:val="none"/>
        </w:rPr>
        <w:t>表3.3-3部分原辅材料理化性质</w:t>
      </w:r>
    </w:p>
    <w:tbl>
      <w:tblPr>
        <w:tblStyle w:val="21"/>
        <w:tblW w:w="9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5006"/>
        <w:gridCol w:w="2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tblHeader/>
          <w:jc w:val="center"/>
        </w:trPr>
        <w:tc>
          <w:tcPr>
            <w:tcW w:w="1277"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b/>
                <w:color w:val="auto"/>
                <w:sz w:val="21"/>
                <w:szCs w:val="21"/>
              </w:rPr>
            </w:pPr>
            <w:r>
              <w:rPr>
                <w:rFonts w:ascii="Times New Roman" w:hAnsi="Times New Roman" w:eastAsia="仿宋"/>
                <w:b/>
                <w:color w:val="auto"/>
                <w:sz w:val="21"/>
                <w:szCs w:val="21"/>
              </w:rPr>
              <w:t>名称</w:t>
            </w:r>
          </w:p>
        </w:tc>
        <w:tc>
          <w:tcPr>
            <w:tcW w:w="5006"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b/>
                <w:color w:val="auto"/>
                <w:sz w:val="21"/>
                <w:szCs w:val="21"/>
              </w:rPr>
            </w:pPr>
            <w:r>
              <w:rPr>
                <w:rFonts w:ascii="Times New Roman" w:hAnsi="Times New Roman" w:eastAsia="仿宋"/>
                <w:b/>
                <w:color w:val="auto"/>
                <w:sz w:val="21"/>
                <w:szCs w:val="21"/>
              </w:rPr>
              <w:t>理化性质</w:t>
            </w:r>
          </w:p>
        </w:tc>
        <w:tc>
          <w:tcPr>
            <w:tcW w:w="2982"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b/>
                <w:color w:val="auto"/>
                <w:sz w:val="21"/>
                <w:szCs w:val="21"/>
              </w:rPr>
            </w:pPr>
            <w:r>
              <w:rPr>
                <w:rFonts w:ascii="Times New Roman" w:hAnsi="Times New Roman" w:eastAsia="仿宋"/>
                <w:b/>
                <w:color w:val="auto"/>
                <w:sz w:val="21"/>
                <w:szCs w:val="21"/>
              </w:rPr>
              <w:t>毒理性质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blHeader/>
          <w:jc w:val="center"/>
        </w:trPr>
        <w:tc>
          <w:tcPr>
            <w:tcW w:w="1277"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olor w:val="auto"/>
                <w:sz w:val="21"/>
                <w:szCs w:val="21"/>
                <w:highlight w:val="yellow"/>
              </w:rPr>
            </w:pPr>
            <w:r>
              <w:rPr>
                <w:rFonts w:ascii="Times New Roman" w:hAnsi="Times New Roman" w:eastAsia="仿宋"/>
                <w:color w:val="auto"/>
                <w:sz w:val="21"/>
                <w:szCs w:val="21"/>
              </w:rPr>
              <w:t>双键异构不饱和醇聚醚</w:t>
            </w:r>
          </w:p>
        </w:tc>
        <w:tc>
          <w:tcPr>
            <w:tcW w:w="5006" w:type="dxa"/>
            <w:vAlign w:val="center"/>
          </w:tcPr>
          <w:p>
            <w:pPr>
              <w:pStyle w:val="33"/>
              <w:jc w:val="left"/>
              <w:rPr>
                <w:rFonts w:hint="eastAsia" w:eastAsia="仿宋"/>
                <w:color w:val="auto"/>
                <w:sz w:val="21"/>
                <w:szCs w:val="21"/>
                <w:highlight w:val="yellow"/>
                <w:lang w:eastAsia="zh-CN"/>
              </w:rPr>
            </w:pPr>
            <w:r>
              <w:rPr>
                <w:rFonts w:hint="eastAsia" w:ascii="Times New Roman" w:hAnsi="Times New Roman" w:eastAsia="仿宋"/>
                <w:color w:val="auto"/>
                <w:sz w:val="21"/>
                <w:szCs w:val="21"/>
                <w:shd w:val="clear" w:color="auto" w:fill="FFFFFF"/>
              </w:rPr>
              <w:t>分子量</w:t>
            </w:r>
            <w:r>
              <w:rPr>
                <w:rFonts w:ascii="Times New Roman" w:hAnsi="Times New Roman" w:eastAsia="仿宋"/>
                <w:color w:val="auto"/>
                <w:sz w:val="21"/>
                <w:szCs w:val="21"/>
                <w:shd w:val="clear" w:color="auto" w:fill="FFFFFF"/>
              </w:rPr>
              <w:t>1098</w:t>
            </w:r>
            <w:r>
              <w:rPr>
                <w:rFonts w:hint="eastAsia" w:ascii="Times New Roman" w:hAnsi="Times New Roman" w:eastAsia="仿宋"/>
                <w:color w:val="auto"/>
                <w:sz w:val="21"/>
                <w:szCs w:val="21"/>
                <w:shd w:val="clear" w:color="auto" w:fill="FFFFFF"/>
              </w:rPr>
              <w:t>，无色液体，有轻微刺激性气味。密度</w:t>
            </w:r>
            <w:r>
              <w:rPr>
                <w:rFonts w:ascii="Times New Roman" w:hAnsi="Times New Roman" w:eastAsia="仿宋"/>
                <w:color w:val="auto"/>
                <w:sz w:val="21"/>
                <w:szCs w:val="21"/>
                <w:shd w:val="clear" w:color="auto" w:fill="FFFFFF"/>
              </w:rPr>
              <w:t>1.095g/m</w:t>
            </w:r>
            <w:r>
              <w:rPr>
                <w:rFonts w:hint="eastAsia" w:ascii="Times New Roman" w:hAnsi="Times New Roman" w:eastAsia="仿宋"/>
                <w:color w:val="auto"/>
                <w:sz w:val="21"/>
                <w:szCs w:val="21"/>
                <w:shd w:val="clear" w:color="auto" w:fill="FFFFFF"/>
              </w:rPr>
              <w:t>，熔点：</w:t>
            </w:r>
            <w:r>
              <w:rPr>
                <w:rFonts w:ascii="Times New Roman" w:hAnsi="Times New Roman" w:eastAsia="仿宋"/>
                <w:color w:val="auto"/>
                <w:sz w:val="21"/>
                <w:szCs w:val="21"/>
                <w:shd w:val="clear" w:color="auto" w:fill="FFFFFF"/>
              </w:rPr>
              <w:t>57-61</w:t>
            </w:r>
            <w:r>
              <w:rPr>
                <w:rFonts w:hint="eastAsia" w:ascii="Times New Roman" w:hAnsi="Times New Roman" w:eastAsia="仿宋"/>
                <w:color w:val="auto"/>
                <w:sz w:val="21"/>
                <w:szCs w:val="21"/>
                <w:shd w:val="clear" w:color="auto" w:fill="FFFFFF"/>
              </w:rPr>
              <w:t>℃，沸点：</w:t>
            </w:r>
            <w:r>
              <w:rPr>
                <w:rFonts w:ascii="Times New Roman" w:hAnsi="Times New Roman" w:eastAsia="仿宋"/>
                <w:color w:val="auto"/>
                <w:sz w:val="21"/>
                <w:szCs w:val="21"/>
                <w:shd w:val="clear" w:color="auto" w:fill="FFFFFF"/>
              </w:rPr>
              <w:t>200</w:t>
            </w:r>
            <w:r>
              <w:rPr>
                <w:rFonts w:hint="eastAsia" w:ascii="Times New Roman" w:hAnsi="Times New Roman" w:eastAsia="仿宋"/>
                <w:color w:val="auto"/>
                <w:sz w:val="21"/>
                <w:szCs w:val="21"/>
                <w:shd w:val="clear" w:color="auto" w:fill="FFFFFF"/>
              </w:rPr>
              <w:t>℃</w:t>
            </w:r>
            <w:r>
              <w:rPr>
                <w:rFonts w:hint="eastAsia" w:ascii="Times New Roman" w:hAnsi="Times New Roman" w:eastAsia="仿宋"/>
                <w:color w:val="auto"/>
                <w:sz w:val="21"/>
                <w:szCs w:val="21"/>
                <w:shd w:val="clear" w:color="auto" w:fill="FFFFFF"/>
                <w:lang w:eastAsia="zh-CN"/>
              </w:rPr>
              <w:t>。</w:t>
            </w:r>
          </w:p>
        </w:tc>
        <w:tc>
          <w:tcPr>
            <w:tcW w:w="2982"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eastAsia" w:ascii="Times New Roman" w:hAnsi="Times New Roman" w:eastAsia="仿宋"/>
                <w:color w:val="auto"/>
                <w:sz w:val="21"/>
                <w:szCs w:val="21"/>
              </w:rPr>
            </w:pPr>
            <w:r>
              <w:rPr>
                <w:rFonts w:hint="eastAsia" w:ascii="Times New Roman" w:hAnsi="Times New Roman" w:eastAsia="仿宋"/>
                <w:color w:val="auto"/>
                <w:sz w:val="21"/>
                <w:szCs w:val="21"/>
              </w:rPr>
              <w:t>毒性很低，半致死剂量大鼠</w:t>
            </w:r>
          </w:p>
          <w:p>
            <w:pPr>
              <w:pStyle w:val="33"/>
              <w:pBdr>
                <w:top w:val="none" w:color="000000" w:sz="0" w:space="0"/>
                <w:left w:val="none" w:color="000000" w:sz="0" w:space="0"/>
                <w:bottom w:val="none" w:color="000000" w:sz="0" w:space="0"/>
                <w:right w:val="none" w:color="000000" w:sz="0" w:space="0"/>
                <w:between w:val="none" w:color="000000" w:sz="0" w:space="0"/>
              </w:pBdr>
              <w:jc w:val="center"/>
              <w:rPr>
                <w:rFonts w:hint="eastAsia" w:ascii="Times New Roman" w:hAnsi="Times New Roman" w:eastAsia="仿宋"/>
                <w:color w:val="auto"/>
                <w:sz w:val="21"/>
                <w:szCs w:val="21"/>
                <w:highlight w:val="yellow"/>
                <w:lang w:eastAsia="zh-CN"/>
              </w:rPr>
            </w:pPr>
            <w:r>
              <w:rPr>
                <w:rFonts w:hint="eastAsia" w:ascii="Times New Roman" w:hAnsi="Times New Roman" w:eastAsia="仿宋"/>
                <w:color w:val="auto"/>
                <w:sz w:val="21"/>
                <w:szCs w:val="21"/>
              </w:rPr>
              <w:t>（口服）﹥2000mg/kg</w:t>
            </w:r>
            <w:r>
              <w:rPr>
                <w:rFonts w:hint="eastAsia" w:ascii="Times New Roman" w:hAnsi="Times New Roman" w:eastAsia="仿宋"/>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277" w:type="dxa"/>
            <w:vAlign w:val="center"/>
          </w:tcPr>
          <w:p>
            <w:pPr>
              <w:pBdr>
                <w:top w:val="none" w:color="000000" w:sz="0" w:space="0"/>
                <w:left w:val="none" w:color="000000" w:sz="0" w:space="0"/>
                <w:bottom w:val="none" w:color="000000" w:sz="0" w:space="0"/>
                <w:right w:val="none" w:color="000000" w:sz="0" w:space="0"/>
                <w:between w:val="none" w:color="000000" w:sz="0" w:space="0"/>
              </w:pBdr>
              <w:jc w:val="center"/>
              <w:rPr>
                <w:rFonts w:eastAsia="仿宋"/>
                <w:color w:val="auto"/>
                <w:sz w:val="21"/>
                <w:szCs w:val="21"/>
                <w:shd w:val="clear" w:color="auto" w:fill="FFFFFF"/>
              </w:rPr>
            </w:pPr>
            <w:r>
              <w:rPr>
                <w:rFonts w:eastAsia="仿宋"/>
                <w:color w:val="auto"/>
                <w:sz w:val="21"/>
                <w:szCs w:val="21"/>
                <w:shd w:val="clear" w:color="auto" w:fill="FFFFFF"/>
              </w:rPr>
              <w:t>丙烯酸</w:t>
            </w:r>
          </w:p>
        </w:tc>
        <w:tc>
          <w:tcPr>
            <w:tcW w:w="5006"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left"/>
              <w:rPr>
                <w:rFonts w:ascii="Times New Roman" w:hAnsi="Times New Roman" w:eastAsia="仿宋"/>
                <w:color w:val="auto"/>
                <w:sz w:val="21"/>
                <w:szCs w:val="21"/>
                <w:shd w:val="clear" w:color="auto" w:fill="FFFFFF"/>
              </w:rPr>
            </w:pPr>
            <w:r>
              <w:rPr>
                <w:rFonts w:ascii="Times New Roman" w:hAnsi="Times New Roman" w:eastAsia="仿宋"/>
                <w:color w:val="auto"/>
                <w:sz w:val="21"/>
                <w:szCs w:val="21"/>
                <w:shd w:val="clear" w:color="auto" w:fill="FFFFFF"/>
              </w:rPr>
              <w:t>纯的丙烯酸为无色澄清液体，有特征的刺激性气味；相对密度（25</w:t>
            </w:r>
            <w:r>
              <w:rPr>
                <w:rFonts w:hint="eastAsia" w:ascii="Times New Roman" w:hAnsi="Times New Roman" w:eastAsia="仿宋"/>
                <w:color w:val="auto"/>
                <w:sz w:val="21"/>
                <w:szCs w:val="21"/>
                <w:shd w:val="clear" w:color="auto" w:fill="FFFFFF"/>
              </w:rPr>
              <w:t>℃</w:t>
            </w:r>
            <w:r>
              <w:rPr>
                <w:rFonts w:ascii="Times New Roman" w:hAnsi="Times New Roman" w:eastAsia="仿宋"/>
                <w:color w:val="auto"/>
                <w:sz w:val="21"/>
                <w:szCs w:val="21"/>
                <w:shd w:val="clear" w:color="auto" w:fill="FFFFFF"/>
              </w:rPr>
              <w:t>，4</w:t>
            </w:r>
            <w:r>
              <w:rPr>
                <w:rFonts w:hint="eastAsia" w:ascii="Times New Roman" w:hAnsi="Times New Roman" w:eastAsia="仿宋"/>
                <w:color w:val="auto"/>
                <w:sz w:val="21"/>
                <w:szCs w:val="21"/>
                <w:shd w:val="clear" w:color="auto" w:fill="FFFFFF"/>
              </w:rPr>
              <w:t>℃</w:t>
            </w:r>
            <w:r>
              <w:rPr>
                <w:rFonts w:ascii="Times New Roman" w:hAnsi="Times New Roman" w:eastAsia="仿宋"/>
                <w:color w:val="auto"/>
                <w:sz w:val="21"/>
                <w:szCs w:val="21"/>
                <w:shd w:val="clear" w:color="auto" w:fill="FFFFFF"/>
              </w:rPr>
              <w:t>）：1.044，与水混溶，可混溶于乙醇、乙醚，熔点13</w:t>
            </w:r>
            <w:r>
              <w:rPr>
                <w:rFonts w:hint="eastAsia" w:ascii="Times New Roman" w:hAnsi="Times New Roman" w:eastAsia="仿宋"/>
                <w:color w:val="auto"/>
                <w:sz w:val="21"/>
                <w:szCs w:val="21"/>
                <w:shd w:val="clear" w:color="auto" w:fill="FFFFFF"/>
              </w:rPr>
              <w:t>℃</w:t>
            </w:r>
            <w:r>
              <w:rPr>
                <w:rFonts w:ascii="Times New Roman" w:hAnsi="Times New Roman" w:eastAsia="仿宋"/>
                <w:color w:val="auto"/>
                <w:sz w:val="21"/>
                <w:szCs w:val="21"/>
                <w:shd w:val="clear" w:color="auto" w:fill="FFFFFF"/>
              </w:rPr>
              <w:t>，沸点141</w:t>
            </w:r>
            <w:r>
              <w:rPr>
                <w:rFonts w:hint="eastAsia" w:ascii="Times New Roman" w:hAnsi="Times New Roman" w:eastAsia="仿宋"/>
                <w:color w:val="auto"/>
                <w:sz w:val="21"/>
                <w:szCs w:val="21"/>
                <w:shd w:val="clear" w:color="auto" w:fill="FFFFFF"/>
              </w:rPr>
              <w:t>℃</w:t>
            </w:r>
            <w:r>
              <w:rPr>
                <w:rFonts w:ascii="Times New Roman" w:hAnsi="Times New Roman" w:eastAsia="仿宋"/>
                <w:color w:val="auto"/>
                <w:sz w:val="21"/>
                <w:szCs w:val="21"/>
                <w:shd w:val="clear" w:color="auto" w:fill="FFFFFF"/>
              </w:rPr>
              <w:t>，</w:t>
            </w:r>
            <w:r>
              <w:rPr>
                <w:rFonts w:hint="eastAsia" w:ascii="Times New Roman" w:hAnsi="Times New Roman" w:eastAsia="仿宋"/>
                <w:color w:val="auto"/>
                <w:sz w:val="21"/>
                <w:szCs w:val="21"/>
                <w:shd w:val="clear" w:color="auto" w:fill="FFFFFF"/>
              </w:rPr>
              <w:t>闪点50℃，引燃温度438℃。</w:t>
            </w:r>
            <w:r>
              <w:rPr>
                <w:rFonts w:ascii="Times New Roman" w:hAnsi="Times New Roman" w:eastAsia="仿宋"/>
                <w:color w:val="auto"/>
                <w:sz w:val="21"/>
                <w:szCs w:val="21"/>
                <w:shd w:val="clear" w:color="auto" w:fill="FFFFFF"/>
              </w:rPr>
              <w:t>酸性较强。有腐蚀性。化学性质活泼。易燃，其蒸气与空气可形成爆炸性混合物，遇明火、高热能引起燃烧爆炸。</w:t>
            </w:r>
          </w:p>
        </w:tc>
        <w:tc>
          <w:tcPr>
            <w:tcW w:w="2982" w:type="dxa"/>
            <w:vAlign w:val="center"/>
          </w:tcPr>
          <w:p>
            <w:pPr>
              <w:pStyle w:val="34"/>
              <w:rPr>
                <w:rFonts w:ascii="Times New Roman" w:hAnsi="Times New Roman" w:eastAsia="仿宋"/>
                <w:color w:val="auto"/>
              </w:rPr>
            </w:pPr>
            <w:r>
              <w:rPr>
                <w:rFonts w:ascii="Times New Roman" w:hAnsi="Times New Roman" w:eastAsia="仿宋"/>
                <w:color w:val="auto"/>
              </w:rPr>
              <w:t>其水溶液或高浓度蒸气会刺激皮肤和黏膜。吸入、皮肤接触及吞食有害，对水生生物有极高毒性</w:t>
            </w:r>
            <w:r>
              <w:rPr>
                <w:rFonts w:hint="eastAsia" w:ascii="Times New Roman" w:hAnsi="Times New Roman" w:eastAsia="仿宋"/>
                <w:color w:val="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1277"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spacing w:before="156"/>
              <w:jc w:val="left"/>
              <w:rPr>
                <w:rFonts w:ascii="Times New Roman" w:hAnsi="Times New Roman" w:eastAsia="仿宋"/>
                <w:color w:val="auto"/>
                <w:sz w:val="21"/>
                <w:szCs w:val="21"/>
              </w:rPr>
            </w:pPr>
            <w:r>
              <w:rPr>
                <w:rFonts w:ascii="Times New Roman" w:hAnsi="Times New Roman" w:eastAsia="仿宋"/>
                <w:color w:val="auto"/>
                <w:sz w:val="21"/>
                <w:szCs w:val="21"/>
              </w:rPr>
              <w:t>葡萄糖酸钠</w:t>
            </w:r>
          </w:p>
        </w:tc>
        <w:tc>
          <w:tcPr>
            <w:tcW w:w="5006"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left"/>
              <w:rPr>
                <w:rFonts w:hint="eastAsia" w:ascii="Times New Roman" w:hAnsi="Times New Roman" w:eastAsia="仿宋"/>
                <w:color w:val="auto"/>
                <w:sz w:val="21"/>
                <w:szCs w:val="21"/>
                <w:lang w:eastAsia="zh-CN"/>
              </w:rPr>
            </w:pPr>
            <w:r>
              <w:rPr>
                <w:rFonts w:ascii="Times New Roman" w:hAnsi="Times New Roman" w:eastAsia="仿宋"/>
                <w:color w:val="auto"/>
                <w:sz w:val="21"/>
                <w:szCs w:val="21"/>
                <w:shd w:val="clear" w:color="auto" w:fill="FFFFFF"/>
              </w:rPr>
              <w:t>葡萄糖酸钠为白色结晶颗粒或粉末，极易溶于水，略溶于酒精，不能够溶于乙醚</w:t>
            </w:r>
            <w:r>
              <w:rPr>
                <w:rFonts w:hint="eastAsia" w:ascii="Times New Roman" w:hAnsi="Times New Roman" w:eastAsia="仿宋"/>
                <w:color w:val="auto"/>
                <w:sz w:val="21"/>
                <w:szCs w:val="21"/>
                <w:lang w:eastAsia="zh-CN"/>
              </w:rPr>
              <w:t>。</w:t>
            </w:r>
          </w:p>
        </w:tc>
        <w:tc>
          <w:tcPr>
            <w:tcW w:w="2982"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olor w:val="auto"/>
                <w:sz w:val="21"/>
                <w:szCs w:val="21"/>
              </w:rPr>
            </w:pPr>
            <w:r>
              <w:rPr>
                <w:rFonts w:ascii="Times New Roman" w:hAnsi="Times New Roman" w:eastAsia="仿宋"/>
                <w:color w:val="auto"/>
                <w:sz w:val="21"/>
                <w:szCs w:val="21"/>
                <w:shd w:val="clear" w:color="auto" w:fill="FFFFFF"/>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3" w:hRule="atLeast"/>
          <w:jc w:val="center"/>
        </w:trPr>
        <w:tc>
          <w:tcPr>
            <w:tcW w:w="1277"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olor w:val="auto"/>
                <w:sz w:val="21"/>
                <w:szCs w:val="21"/>
                <w:lang w:val="en-US" w:eastAsia="zh-CN"/>
              </w:rPr>
            </w:pPr>
            <w:r>
              <w:rPr>
                <w:rFonts w:hint="eastAsia" w:ascii="Times New Roman" w:hAnsi="Times New Roman" w:eastAsia="仿宋"/>
                <w:color w:val="auto"/>
                <w:sz w:val="21"/>
                <w:szCs w:val="21"/>
                <w:lang w:val="en-US" w:eastAsia="zh-CN"/>
              </w:rPr>
              <w:t>液碱</w:t>
            </w:r>
          </w:p>
        </w:tc>
        <w:tc>
          <w:tcPr>
            <w:tcW w:w="5006"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left"/>
              <w:rPr>
                <w:rFonts w:hint="eastAsia" w:ascii="Times New Roman" w:hAnsi="Times New Roman" w:eastAsia="仿宋"/>
                <w:color w:val="auto"/>
                <w:sz w:val="21"/>
                <w:szCs w:val="21"/>
                <w:shd w:val="clear" w:color="auto" w:fill="FFFFFF"/>
              </w:rPr>
            </w:pPr>
            <w:r>
              <w:rPr>
                <w:rFonts w:hint="eastAsia" w:ascii="Times New Roman" w:hAnsi="Times New Roman" w:eastAsia="仿宋"/>
                <w:color w:val="auto"/>
                <w:sz w:val="21"/>
                <w:szCs w:val="21"/>
                <w:shd w:val="clear" w:color="auto" w:fill="FFFFFF"/>
              </w:rPr>
              <w:t>分子量：58.08，熔点：-94.6℃ 沸点：56.5℃，相</w:t>
            </w:r>
          </w:p>
          <w:p>
            <w:pPr>
              <w:pStyle w:val="33"/>
              <w:pBdr>
                <w:top w:val="none" w:color="000000" w:sz="0" w:space="0"/>
                <w:left w:val="none" w:color="000000" w:sz="0" w:space="0"/>
                <w:bottom w:val="none" w:color="000000" w:sz="0" w:space="0"/>
                <w:right w:val="none" w:color="000000" w:sz="0" w:space="0"/>
                <w:between w:val="none" w:color="000000" w:sz="0" w:space="0"/>
              </w:pBdr>
              <w:rPr>
                <w:rFonts w:ascii="Times New Roman" w:hAnsi="Times New Roman" w:eastAsia="仿宋"/>
                <w:color w:val="auto"/>
                <w:sz w:val="21"/>
                <w:szCs w:val="21"/>
              </w:rPr>
            </w:pPr>
            <w:r>
              <w:rPr>
                <w:rFonts w:hint="eastAsia" w:ascii="Times New Roman" w:hAnsi="Times New Roman" w:eastAsia="仿宋"/>
                <w:color w:val="auto"/>
                <w:sz w:val="21"/>
                <w:szCs w:val="21"/>
                <w:shd w:val="clear" w:color="auto" w:fill="FFFFFF"/>
              </w:rPr>
              <w:t>对密度(水=1)</w:t>
            </w:r>
            <w:r>
              <w:rPr>
                <w:rFonts w:hint="eastAsia" w:ascii="Times New Roman" w:hAnsi="Times New Roman" w:eastAsia="仿宋"/>
                <w:color w:val="auto"/>
                <w:sz w:val="21"/>
                <w:szCs w:val="21"/>
                <w:shd w:val="clear" w:color="auto" w:fill="FFFFFF"/>
                <w:lang w:val="en-US" w:eastAsia="zh-CN"/>
              </w:rPr>
              <w:t>1.35</w:t>
            </w:r>
            <w:r>
              <w:rPr>
                <w:rFonts w:hint="eastAsia" w:ascii="Times New Roman" w:hAnsi="Times New Roman" w:eastAsia="仿宋"/>
                <w:color w:val="auto"/>
                <w:sz w:val="21"/>
                <w:szCs w:val="21"/>
                <w:shd w:val="clear" w:color="auto" w:fill="FFFFFF"/>
              </w:rPr>
              <w:t>，蒸汽压：53.32kPa/39.5℃ 闪点：-20℃，无色透明易流动液体，有芳香气味，极易挥发，与水混溶，可混溶于乙醇、乙醚、氯仿、油类、烃类等多数有机溶剂，稳定</w:t>
            </w:r>
            <w:r>
              <w:rPr>
                <w:rFonts w:ascii="Times New Roman" w:hAnsi="Times New Roman" w:eastAsia="仿宋"/>
                <w:color w:val="auto"/>
                <w:sz w:val="21"/>
                <w:szCs w:val="21"/>
                <w:shd w:val="clear" w:color="auto" w:fill="FFFFFF"/>
              </w:rPr>
              <w:t>。有强烈刺激和腐蚀性。粉尘或烟雾会刺激眼和呼吸道，腐蚀鼻中隔，皮肤和眼与NaOH直接接触会引起灼伤，误服可造成消化道灼伤，粘膜糜烂、出血和休克。分解产物可能产生有害的毒性烟雾</w:t>
            </w:r>
            <w:r>
              <w:rPr>
                <w:rFonts w:hint="eastAsia" w:ascii="Times New Roman" w:hAnsi="Times New Roman" w:eastAsia="仿宋"/>
                <w:color w:val="auto"/>
                <w:sz w:val="21"/>
                <w:szCs w:val="21"/>
                <w:shd w:val="clear" w:color="auto" w:fill="FFFFFF"/>
              </w:rPr>
              <w:t>属低毒类。</w:t>
            </w:r>
          </w:p>
        </w:tc>
        <w:tc>
          <w:tcPr>
            <w:tcW w:w="2982"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rPr>
                <w:rFonts w:hint="eastAsia" w:ascii="Times New Roman" w:hAnsi="Times New Roman" w:eastAsia="仿宋"/>
                <w:color w:val="auto"/>
                <w:sz w:val="21"/>
                <w:szCs w:val="21"/>
                <w:lang w:eastAsia="zh-CN"/>
              </w:rPr>
            </w:pPr>
            <w:r>
              <w:rPr>
                <w:rFonts w:hint="eastAsia" w:ascii="Times New Roman" w:hAnsi="Times New Roman" w:eastAsia="仿宋"/>
                <w:color w:val="auto"/>
                <w:sz w:val="21"/>
                <w:szCs w:val="21"/>
              </w:rPr>
              <w:t>急性毒性：LD 50 5800mg/kg(大鼠经口)；20000mg/kg(兔经皮)；人吸入 12000ppm×4小时，最小中毒浓度。人经口200ml，昏迷，12小时恢复</w:t>
            </w:r>
            <w:r>
              <w:rPr>
                <w:rFonts w:hint="eastAsia" w:ascii="Times New Roman" w:hAnsi="Times New Roman" w:eastAsia="仿宋"/>
                <w:color w:val="auto"/>
                <w:sz w:val="21"/>
                <w:szCs w:val="21"/>
                <w:lang w:eastAsia="zh-CN"/>
              </w:rPr>
              <w:t>。对水环境造成危害。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9" w:hRule="atLeast"/>
          <w:jc w:val="center"/>
        </w:trPr>
        <w:tc>
          <w:tcPr>
            <w:tcW w:w="1277"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olor w:val="auto"/>
                <w:sz w:val="21"/>
                <w:szCs w:val="21"/>
              </w:rPr>
            </w:pPr>
            <w:r>
              <w:rPr>
                <w:rFonts w:ascii="Times New Roman" w:hAnsi="Times New Roman" w:eastAsia="仿宋"/>
                <w:color w:val="auto"/>
                <w:sz w:val="21"/>
                <w:szCs w:val="21"/>
              </w:rPr>
              <w:t>双氧水</w:t>
            </w:r>
          </w:p>
        </w:tc>
        <w:tc>
          <w:tcPr>
            <w:tcW w:w="5006"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rPr>
                <w:rFonts w:ascii="Times New Roman" w:hAnsi="Times New Roman" w:eastAsia="仿宋"/>
                <w:color w:val="auto"/>
                <w:sz w:val="21"/>
                <w:szCs w:val="21"/>
              </w:rPr>
            </w:pPr>
            <w:r>
              <w:rPr>
                <w:rFonts w:hint="eastAsia" w:ascii="Times New Roman" w:hAnsi="Times New Roman" w:eastAsia="仿宋"/>
                <w:color w:val="auto"/>
                <w:sz w:val="21"/>
                <w:szCs w:val="21"/>
              </w:rPr>
              <w:t>分子量34.0，蓝色黏稠状液体。熔点-0.43℃。沸点158℃。密度1.13g/cm。过氧化氢自身不燃，但能与可燃物反应放出大量热量和氧气而引起着火爆炸。</w:t>
            </w:r>
          </w:p>
        </w:tc>
        <w:tc>
          <w:tcPr>
            <w:tcW w:w="2982"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rPr>
                <w:rFonts w:ascii="Times New Roman" w:hAnsi="Times New Roman" w:eastAsia="仿宋"/>
                <w:color w:val="auto"/>
                <w:sz w:val="21"/>
                <w:szCs w:val="21"/>
              </w:rPr>
            </w:pPr>
            <w:r>
              <w:rPr>
                <w:rFonts w:ascii="Times New Roman" w:hAnsi="Times New Roman" w:eastAsia="仿宋"/>
                <w:color w:val="auto"/>
                <w:sz w:val="21"/>
                <w:szCs w:val="21"/>
                <w:shd w:val="clear" w:color="auto" w:fill="FFFFFF"/>
              </w:rPr>
              <w:t>高浓度过氧化氢有强烈的腐蚀性。吸入该品蒸气或雾对呼吸道有强烈刺激性。眼直接接触液体可致不可逆损伤甚至失明。</w:t>
            </w:r>
            <w:r>
              <w:rPr>
                <w:rFonts w:hint="eastAsia" w:ascii="Times New Roman" w:hAnsi="Times New Roman" w:eastAsia="仿宋"/>
                <w:color w:val="auto"/>
                <w:sz w:val="21"/>
                <w:szCs w:val="21"/>
                <w:shd w:val="clear" w:color="auto" w:fill="FFFFFF"/>
              </w:rPr>
              <w:t>LD50</w:t>
            </w:r>
            <w:r>
              <w:rPr>
                <w:rFonts w:hint="eastAsia" w:ascii="Times New Roman" w:hAnsi="Times New Roman" w:eastAsia="仿宋"/>
                <w:color w:val="auto"/>
                <w:sz w:val="21"/>
                <w:szCs w:val="21"/>
                <w:shd w:val="clear" w:color="auto" w:fill="FFFFFF"/>
                <w:lang w:val="en-US" w:eastAsia="zh-CN"/>
              </w:rPr>
              <w:t xml:space="preserve"> </w:t>
            </w:r>
            <w:r>
              <w:rPr>
                <w:rFonts w:hint="eastAsia" w:ascii="Times New Roman" w:hAnsi="Times New Roman" w:eastAsia="仿宋"/>
                <w:color w:val="auto"/>
                <w:sz w:val="21"/>
                <w:szCs w:val="21"/>
                <w:shd w:val="clear" w:color="auto" w:fill="FFFFFF"/>
              </w:rPr>
              <w:t>4060mg/kg（大鼠经皮）；LC50 2000mg/m</w:t>
            </w:r>
            <w:r>
              <w:rPr>
                <w:rFonts w:hint="eastAsia" w:ascii="Times New Roman" w:hAnsi="Times New Roman" w:eastAsia="仿宋"/>
                <w:color w:val="auto"/>
                <w:sz w:val="21"/>
                <w:szCs w:val="21"/>
                <w:shd w:val="clear" w:color="auto" w:fill="FFFFFF"/>
                <w:vertAlign w:val="superscript"/>
              </w:rPr>
              <w:t>3</w:t>
            </w:r>
            <w:r>
              <w:rPr>
                <w:rFonts w:hint="eastAsia" w:ascii="Times New Roman" w:hAnsi="Times New Roman" w:eastAsia="仿宋"/>
                <w:color w:val="auto"/>
                <w:sz w:val="21"/>
                <w:szCs w:val="21"/>
                <w:shd w:val="clear" w:color="auto" w:fill="FFFFFF"/>
              </w:rPr>
              <w:t>，4小时（大鼠吸入）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1277"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rPr>
                <w:rFonts w:ascii="Times New Roman" w:hAnsi="Times New Roman" w:eastAsia="仿宋"/>
                <w:color w:val="auto"/>
                <w:sz w:val="21"/>
                <w:szCs w:val="21"/>
              </w:rPr>
            </w:pPr>
            <w:r>
              <w:rPr>
                <w:rFonts w:ascii="Times New Roman" w:hAnsi="Times New Roman" w:eastAsia="仿宋"/>
                <w:color w:val="auto"/>
                <w:sz w:val="21"/>
                <w:szCs w:val="21"/>
              </w:rPr>
              <w:t>巯基丙酸</w:t>
            </w:r>
          </w:p>
        </w:tc>
        <w:tc>
          <w:tcPr>
            <w:tcW w:w="5006"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rPr>
                <w:rFonts w:ascii="Times New Roman" w:hAnsi="Times New Roman" w:eastAsia="仿宋"/>
                <w:color w:val="auto"/>
                <w:sz w:val="21"/>
                <w:szCs w:val="21"/>
              </w:rPr>
            </w:pPr>
            <w:r>
              <w:rPr>
                <w:rFonts w:ascii="Times New Roman" w:hAnsi="Times New Roman" w:eastAsia="仿宋"/>
                <w:color w:val="auto"/>
                <w:sz w:val="21"/>
                <w:szCs w:val="21"/>
              </w:rPr>
              <w:t>外观性状透明液体</w:t>
            </w:r>
            <w:r>
              <w:rPr>
                <w:rFonts w:hint="eastAsia" w:ascii="Times New Roman" w:hAnsi="Times New Roman" w:eastAsia="仿宋"/>
                <w:color w:val="auto"/>
                <w:sz w:val="21"/>
                <w:szCs w:val="21"/>
                <w:lang w:eastAsia="zh-CN"/>
              </w:rPr>
              <w:t>，</w:t>
            </w:r>
            <w:r>
              <w:rPr>
                <w:rFonts w:ascii="Times New Roman" w:hAnsi="Times New Roman" w:eastAsia="仿宋"/>
                <w:color w:val="auto"/>
                <w:sz w:val="21"/>
                <w:szCs w:val="21"/>
              </w:rPr>
              <w:t>有强烈的硫化物气味。密度 1.218，熔点17-19°C，沸点110-111°C (15mmHg)，闪点201°F，溶于水，溶于乙醇、苯、甲苯、乙醚、氯代烃等大多数有机溶剂</w:t>
            </w:r>
          </w:p>
        </w:tc>
        <w:tc>
          <w:tcPr>
            <w:tcW w:w="2982"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olor w:val="auto"/>
                <w:sz w:val="21"/>
                <w:szCs w:val="21"/>
              </w:rPr>
            </w:pPr>
            <w:r>
              <w:rPr>
                <w:rFonts w:ascii="Times New Roman" w:hAnsi="Times New Roman" w:eastAsia="仿宋"/>
                <w:color w:val="auto"/>
                <w:sz w:val="21"/>
                <w:szCs w:val="21"/>
              </w:rPr>
              <w:t>巨臭、有毒</w:t>
            </w:r>
            <w:r>
              <w:rPr>
                <w:rFonts w:hint="eastAsia" w:ascii="Times New Roman" w:hAnsi="Times New Roman" w:eastAsia="仿宋"/>
                <w:color w:val="auto"/>
                <w:sz w:val="21"/>
                <w:szCs w:val="21"/>
              </w:rPr>
              <w:t>。LD50：96mg</w:t>
            </w:r>
            <w:r>
              <w:rPr>
                <w:rFonts w:hint="eastAsia" w:ascii="Times New Roman" w:hAnsi="Times New Roman" w:eastAsia="仿宋"/>
                <w:color w:val="auto"/>
                <w:sz w:val="21"/>
                <w:szCs w:val="21"/>
                <w:lang w:val="en-US" w:eastAsia="zh-CN"/>
              </w:rPr>
              <w:t>/</w:t>
            </w:r>
            <w:r>
              <w:rPr>
                <w:rFonts w:hint="eastAsia" w:ascii="Times New Roman" w:hAnsi="Times New Roman" w:eastAsia="仿宋"/>
                <w:color w:val="auto"/>
                <w:sz w:val="21"/>
                <w:szCs w:val="21"/>
              </w:rPr>
              <w:t>kg(大鼠经口)； LC50：10mg</w:t>
            </w:r>
            <w:r>
              <w:rPr>
                <w:rFonts w:hint="eastAsia" w:ascii="Times New Roman" w:hAnsi="Times New Roman" w:eastAsia="仿宋"/>
                <w:color w:val="auto"/>
                <w:sz w:val="21"/>
                <w:szCs w:val="21"/>
                <w:lang w:val="en-US" w:eastAsia="zh-CN"/>
              </w:rPr>
              <w:t>/</w:t>
            </w:r>
            <w:r>
              <w:rPr>
                <w:rFonts w:hint="eastAsia" w:ascii="Times New Roman" w:hAnsi="Times New Roman" w:eastAsia="仿宋"/>
                <w:color w:val="auto"/>
                <w:sz w:val="21"/>
                <w:szCs w:val="21"/>
              </w:rPr>
              <w:t>kg(小鼠腹腔内)</w:t>
            </w:r>
          </w:p>
        </w:tc>
      </w:tr>
    </w:tbl>
    <w:p>
      <w:pPr>
        <w:widowControl/>
        <w:wordWrap/>
        <w:adjustRightInd/>
        <w:snapToGrid/>
        <w:spacing w:beforeLines="50" w:beforeAutospacing="0" w:afterLines="50" w:line="240" w:lineRule="auto"/>
        <w:jc w:val="left"/>
        <w:textAlignment w:val="auto"/>
        <w:outlineLvl w:val="2"/>
        <w:rPr>
          <w:rFonts w:hint="eastAsia" w:ascii="Times New Roman" w:hAnsi="仿宋" w:eastAsia="仿宋" w:cs="Times New Roman"/>
          <w:b/>
          <w:bCs/>
          <w:color w:val="auto"/>
          <w:kern w:val="0"/>
          <w:sz w:val="28"/>
          <w:szCs w:val="28"/>
        </w:rPr>
      </w:pPr>
      <w:bookmarkStart w:id="36" w:name="_Toc10630"/>
      <w:r>
        <w:rPr>
          <w:rFonts w:hint="eastAsia" w:ascii="Times New Roman" w:hAnsi="仿宋" w:eastAsia="仿宋" w:cs="Times New Roman"/>
          <w:b/>
          <w:bCs/>
          <w:color w:val="auto"/>
          <w:kern w:val="0"/>
          <w:sz w:val="28"/>
          <w:szCs w:val="28"/>
        </w:rPr>
        <w:t>3.3.3风险物质识别</w:t>
      </w:r>
      <w:bookmarkEnd w:id="36"/>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按照《企业突发环境事件风险分级方法》附录A中关于突发环境事件风险物质的规定，风险物质主要为丙烯酸、液碱、双氧水、巯基丙酸、聚醚、外加剂成品。</w:t>
      </w:r>
    </w:p>
    <w:p>
      <w:pPr>
        <w:pStyle w:val="5"/>
        <w:keepNext/>
        <w:keepLines/>
        <w:widowControl w:val="0"/>
        <w:wordWrap/>
        <w:adjustRightInd w:val="0"/>
        <w:snapToGrid w:val="0"/>
        <w:spacing w:beforeLines="50" w:beforeAutospacing="0" w:afterLines="50" w:line="240" w:lineRule="auto"/>
        <w:ind w:left="0"/>
        <w:jc w:val="both"/>
        <w:textAlignment w:val="auto"/>
        <w:rPr>
          <w:rFonts w:ascii="Times New Roman"/>
          <w:b/>
          <w:bCs/>
          <w:color w:val="auto"/>
          <w:sz w:val="30"/>
          <w:szCs w:val="30"/>
        </w:rPr>
      </w:pPr>
      <w:bookmarkStart w:id="37" w:name="_Toc24251"/>
      <w:bookmarkStart w:id="38" w:name="_Toc516436372"/>
      <w:r>
        <w:rPr>
          <w:rFonts w:ascii="Times New Roman"/>
          <w:b/>
          <w:bCs/>
          <w:color w:val="auto"/>
          <w:sz w:val="30"/>
          <w:szCs w:val="30"/>
        </w:rPr>
        <w:t>3.4</w:t>
      </w:r>
      <w:r>
        <w:rPr>
          <w:rFonts w:hint="eastAsia" w:ascii="Times New Roman"/>
          <w:b/>
          <w:bCs/>
          <w:color w:val="auto"/>
          <w:sz w:val="30"/>
          <w:szCs w:val="30"/>
          <w:lang w:val="en-US" w:eastAsia="zh-CN"/>
        </w:rPr>
        <w:t xml:space="preserve"> </w:t>
      </w:r>
      <w:r>
        <w:rPr>
          <w:rFonts w:ascii="Times New Roman"/>
          <w:b/>
          <w:bCs/>
          <w:color w:val="auto"/>
          <w:sz w:val="30"/>
          <w:szCs w:val="30"/>
        </w:rPr>
        <w:t>生产工艺</w:t>
      </w:r>
      <w:bookmarkEnd w:id="37"/>
      <w:bookmarkEnd w:id="38"/>
    </w:p>
    <w:p>
      <w:pPr>
        <w:tabs>
          <w:tab w:val="left" w:pos="1200"/>
        </w:tabs>
        <w:spacing w:line="360" w:lineRule="auto"/>
        <w:ind w:firstLine="562" w:firstLineChars="200"/>
        <w:jc w:val="both"/>
        <w:outlineLvl w:val="2"/>
        <w:rPr>
          <w:rFonts w:hint="eastAsia" w:ascii="仿宋" w:hAnsi="仿宋" w:eastAsia="仿宋" w:cs="仿宋"/>
          <w:b/>
          <w:color w:val="auto"/>
          <w:sz w:val="28"/>
          <w:szCs w:val="28"/>
        </w:rPr>
      </w:pPr>
      <w:bookmarkStart w:id="39" w:name="_Toc29102"/>
      <w:r>
        <w:rPr>
          <w:rFonts w:hint="eastAsia" w:ascii="Times New Roman" w:hAnsi="仿宋" w:eastAsia="仿宋" w:cs="Times New Roman"/>
          <w:b/>
          <w:bCs/>
          <w:color w:val="auto"/>
          <w:kern w:val="0"/>
          <w:sz w:val="28"/>
          <w:szCs w:val="28"/>
        </w:rPr>
        <w:t>3.</w:t>
      </w:r>
      <w:r>
        <w:rPr>
          <w:rFonts w:hint="eastAsia" w:ascii="Times New Roman" w:hAnsi="仿宋" w:eastAsia="仿宋" w:cs="Times New Roman"/>
          <w:b/>
          <w:bCs/>
          <w:color w:val="auto"/>
          <w:kern w:val="0"/>
          <w:sz w:val="28"/>
          <w:szCs w:val="28"/>
          <w:lang w:val="en-US" w:eastAsia="zh-CN"/>
        </w:rPr>
        <w:t>4</w:t>
      </w:r>
      <w:r>
        <w:rPr>
          <w:rFonts w:hint="eastAsia" w:ascii="Times New Roman" w:hAnsi="仿宋" w:eastAsia="仿宋" w:cs="Times New Roman"/>
          <w:b/>
          <w:bCs/>
          <w:color w:val="auto"/>
          <w:kern w:val="0"/>
          <w:sz w:val="28"/>
          <w:szCs w:val="28"/>
        </w:rPr>
        <w:t>.</w:t>
      </w:r>
      <w:r>
        <w:rPr>
          <w:rFonts w:hint="eastAsia" w:ascii="Times New Roman" w:hAnsi="仿宋" w:eastAsia="仿宋" w:cs="Times New Roman"/>
          <w:b/>
          <w:bCs/>
          <w:color w:val="auto"/>
          <w:kern w:val="0"/>
          <w:sz w:val="28"/>
          <w:szCs w:val="28"/>
          <w:lang w:val="en-US" w:eastAsia="zh-CN"/>
        </w:rPr>
        <w:t>1</w:t>
      </w:r>
      <w:r>
        <w:rPr>
          <w:rFonts w:hint="eastAsia" w:ascii="仿宋" w:hAnsi="仿宋" w:eastAsia="仿宋" w:cs="仿宋"/>
          <w:b/>
          <w:color w:val="auto"/>
          <w:sz w:val="28"/>
          <w:szCs w:val="28"/>
        </w:rPr>
        <w:t>聚羧酸系外加剂生产工艺</w:t>
      </w:r>
      <w:bookmarkEnd w:id="39"/>
    </w:p>
    <w:p>
      <w:pPr>
        <w:rPr>
          <w:rFonts w:hint="eastAsia"/>
          <w:b/>
          <w:color w:val="auto"/>
          <w:sz w:val="28"/>
          <w:szCs w:val="28"/>
        </w:rPr>
      </w:pPr>
      <w:r>
        <w:rPr>
          <w:rFonts w:hint="eastAsia" w:ascii="Calibri" w:hAnsi="Calibri" w:eastAsia="宋体" w:cs="黑体"/>
          <w:b/>
          <w:color w:val="auto"/>
          <w:kern w:val="2"/>
          <w:sz w:val="28"/>
          <w:szCs w:val="28"/>
          <w:lang w:val="en-US" w:eastAsia="zh-CN" w:bidi="ar-SA"/>
        </w:rPr>
        <w:pict>
          <v:rect id="矩形 34" o:spid="_x0000_s1061" o:spt="1" style="position:absolute;left:0pt;margin-left:159.2pt;margin-top:12.8pt;height:195.2pt;width:112.25pt;z-index:251739136;mso-width-relative:page;mso-height-relative:page;" fillcolor="#FFFFFF" filled="f" o:preferrelative="t" stroked="t" coordsize="21600,21600">
            <v:path/>
            <v:fill on="f" color2="#FFFFFF" focussize="0,0"/>
            <v:stroke color="#000000" color2="#FFFFFF" miterlimit="2" dashstyle="dash"/>
            <v:imagedata gain="65536f" blacklevel="0f" gamma="0" o:title=""/>
            <o:lock v:ext="edit" position="f" selection="f" grouping="f" rotation="f" cropping="f" text="f" aspectratio="f"/>
          </v:rect>
        </w:pict>
      </w:r>
      <w:r>
        <w:rPr>
          <w:rFonts w:hint="eastAsia" w:ascii="Calibri" w:hAnsi="Calibri" w:eastAsia="宋体" w:cs="黑体"/>
          <w:b/>
          <w:color w:val="auto"/>
          <w:kern w:val="2"/>
          <w:sz w:val="28"/>
          <w:szCs w:val="28"/>
          <w:lang w:val="en-US" w:eastAsia="zh-CN" w:bidi="ar-SA"/>
        </w:rPr>
        <w:pict>
          <v:rect id="矩形 35" o:spid="_x0000_s1062" o:spt="1" style="position:absolute;left:0pt;margin-left:186.1pt;margin-top:-15.25pt;height:21.65pt;width:50.45pt;z-index:25169715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jc w:val="center"/>
                  </w:pPr>
                  <w:r>
                    <w:rPr>
                      <w:rFonts w:hint="eastAsia"/>
                    </w:rPr>
                    <w:t>纯水</w:t>
                  </w:r>
                </w:p>
              </w:txbxContent>
            </v:textbox>
          </v:rect>
        </w:pict>
      </w:r>
      <w:r>
        <w:rPr>
          <w:rFonts w:hint="eastAsia" w:ascii="Calibri" w:hAnsi="Calibri" w:eastAsia="宋体" w:cs="黑体"/>
          <w:b/>
          <w:color w:val="auto"/>
          <w:kern w:val="2"/>
          <w:sz w:val="28"/>
          <w:szCs w:val="28"/>
          <w:lang w:val="en-US" w:eastAsia="zh-CN" w:bidi="ar-SA"/>
        </w:rPr>
        <w:pict>
          <v:rect id="矩形 36" o:spid="_x0000_s1063" o:spt="1" style="position:absolute;left:0pt;margin-left:181.75pt;margin-top:24.35pt;height:23.3pt;width:63.8pt;z-index:251696128;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r>
                    <w:rPr>
                      <w:rFonts w:hint="eastAsia"/>
                    </w:rPr>
                    <w:t>投料混合</w:t>
                  </w:r>
                </w:p>
              </w:txbxContent>
            </v:textbox>
          </v:rect>
        </w:pict>
      </w:r>
      <w:r>
        <w:rPr>
          <w:rFonts w:hint="eastAsia" w:ascii="Calibri" w:hAnsi="Calibri" w:eastAsia="宋体" w:cs="黑体"/>
          <w:b/>
          <w:color w:val="auto"/>
          <w:kern w:val="2"/>
          <w:sz w:val="28"/>
          <w:szCs w:val="28"/>
          <w:lang w:val="en-US" w:eastAsia="zh-CN" w:bidi="ar-SA"/>
        </w:rPr>
        <w:pict>
          <v:shape id="自选图形 135" o:spid="_x0000_s1064" o:spt="32" type="#_x0000_t32" style="position:absolute;left:0pt;margin-left:213.55pt;margin-top:9.5pt;height:14.85pt;width:0.05pt;z-index:251695104;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rect id="矩形 167" o:spid="_x0000_s1065" o:spt="1" style="position:absolute;left:0pt;margin-left:67.2pt;margin-top:19.05pt;height:28.6pt;width:65.85pt;z-index:25169920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jc w:val="center"/>
                  </w:pPr>
                  <w:r>
                    <w:rPr>
                      <w:rFonts w:hint="eastAsia"/>
                    </w:rPr>
                    <w:t>聚醚</w:t>
                  </w:r>
                </w:p>
              </w:txbxContent>
            </v:textbox>
          </v:rect>
        </w:pict>
      </w:r>
    </w:p>
    <w:p>
      <w:pPr>
        <w:rPr>
          <w:rFonts w:hint="eastAsia"/>
          <w:b/>
          <w:color w:val="auto"/>
          <w:sz w:val="28"/>
          <w:szCs w:val="28"/>
        </w:rPr>
      </w:pPr>
      <w:r>
        <w:rPr>
          <w:rFonts w:hint="eastAsia" w:ascii="Calibri" w:hAnsi="Calibri" w:eastAsia="宋体" w:cs="黑体"/>
          <w:b/>
          <w:color w:val="auto"/>
          <w:kern w:val="2"/>
          <w:sz w:val="28"/>
          <w:szCs w:val="28"/>
          <w:lang w:val="en-US" w:eastAsia="zh-CN" w:bidi="ar-SA"/>
        </w:rPr>
        <w:pict>
          <v:shape id="自选图形 168" o:spid="_x0000_s1066" o:spt="32" type="#_x0000_t32" style="position:absolute;left:0pt;margin-left:133.05pt;margin-top:42.2pt;height:0.05pt;width:48.7pt;z-index:251712512;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shape id="自选图形 169" o:spid="_x0000_s1067" o:spt="32" type="#_x0000_t32" style="position:absolute;left:0pt;margin-left:213.55pt;margin-top:16.45pt;height:14.85pt;width:0.05pt;z-index:251700224;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shape id="自选图形 170" o:spid="_x0000_s1068" o:spt="32" type="#_x0000_t32" style="position:absolute;left:0pt;margin-left:133.05pt;margin-top:1.6pt;height:0.05pt;width:48.7pt;z-index:251698176;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p>
    <w:p>
      <w:pPr>
        <w:rPr>
          <w:rFonts w:hint="eastAsia"/>
          <w:b/>
          <w:color w:val="auto"/>
          <w:sz w:val="28"/>
          <w:szCs w:val="28"/>
        </w:rPr>
      </w:pPr>
      <w:r>
        <w:rPr>
          <w:rFonts w:hint="eastAsia" w:ascii="Calibri" w:hAnsi="Calibri" w:eastAsia="宋体" w:cs="黑体"/>
          <w:b/>
          <w:color w:val="auto"/>
          <w:kern w:val="2"/>
          <w:sz w:val="28"/>
          <w:szCs w:val="28"/>
          <w:lang w:val="en-US" w:eastAsia="zh-CN" w:bidi="ar-SA"/>
        </w:rPr>
        <w:pict>
          <v:shape id="自选图形 171" o:spid="_x0000_s1069" o:spt="32" type="#_x0000_t32" style="position:absolute;left:0pt;flip:y;margin-left:318.4pt;margin-top:21.75pt;height:14.85pt;width:0.05pt;z-index:251738112;mso-width-relative:page;mso-height-relative:page;" fillcolor="#FFFFFF" filled="t" o:preferrelative="t" stroked="t" coordsize="21600,21600">
            <v:path arrowok="t"/>
            <v:fill on="t" focussize="0,0"/>
            <v:stroke color="#000000" color2="#FFFFFF" miterlimit="2" dashstyle="dash"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rect id="矩形 172" o:spid="_x0000_s1070" o:spt="1" style="position:absolute;left:0pt;margin-left:322.6pt;margin-top:4.6pt;height:21.65pt;width:50.45pt;z-index:25173708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jc w:val="center"/>
                  </w:pPr>
                  <w:r>
                    <w:rPr>
                      <w:rFonts w:hint="eastAsia"/>
                    </w:rPr>
                    <w:t>G1</w:t>
                  </w:r>
                </w:p>
              </w:txbxContent>
            </v:textbox>
          </v:rect>
        </w:pict>
      </w:r>
      <w:r>
        <w:rPr>
          <w:rFonts w:hint="eastAsia" w:ascii="Calibri" w:hAnsi="Calibri" w:eastAsia="宋体" w:cs="黑体"/>
          <w:b/>
          <w:color w:val="auto"/>
          <w:kern w:val="2"/>
          <w:sz w:val="28"/>
          <w:szCs w:val="28"/>
          <w:lang w:val="en-US" w:eastAsia="zh-CN" w:bidi="ar-SA"/>
        </w:rPr>
        <w:pict>
          <v:rect id="矩形 173" o:spid="_x0000_s1071" o:spt="1" style="position:absolute;left:0pt;margin-left:221pt;margin-top:16.6pt;height:21.65pt;width:50.45pt;z-index:2517360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jc w:val="center"/>
                  </w:pPr>
                  <w:r>
                    <w:rPr>
                      <w:rFonts w:hint="eastAsia"/>
                    </w:rPr>
                    <w:t>G2</w:t>
                  </w:r>
                </w:p>
              </w:txbxContent>
            </v:textbox>
          </v:rect>
        </w:pict>
      </w:r>
      <w:r>
        <w:rPr>
          <w:rFonts w:hint="eastAsia" w:ascii="Calibri" w:hAnsi="Calibri" w:eastAsia="宋体" w:cs="黑体"/>
          <w:b/>
          <w:color w:val="auto"/>
          <w:kern w:val="2"/>
          <w:sz w:val="28"/>
          <w:szCs w:val="28"/>
          <w:lang w:val="en-US" w:eastAsia="zh-CN" w:bidi="ar-SA"/>
        </w:rPr>
        <w:pict>
          <v:shape id="自选图形 174" o:spid="_x0000_s1072" o:spt="32" type="#_x0000_t32" style="position:absolute;left:0pt;flip:y;margin-left:226.4pt;margin-top:23.4pt;height:13.2pt;width:0.05pt;z-index:251735040;mso-width-relative:page;mso-height-relative:page;" fillcolor="#FFFFFF" filled="t" o:preferrelative="t" stroked="t" coordsize="21600,21600">
            <v:path arrowok="t"/>
            <v:fill on="t" focussize="0,0"/>
            <v:stroke color="#000000" color2="#FFFFFF" miterlimit="2" dashstyle="dash"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rect id="矩形 175" o:spid="_x0000_s1073" o:spt="1" style="position:absolute;left:0pt;margin-left:126.05pt;margin-top:19.45pt;height:21.65pt;width:50.45pt;z-index:25173401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jc w:val="center"/>
                  </w:pPr>
                  <w:r>
                    <w:rPr>
                      <w:rFonts w:hint="eastAsia"/>
                    </w:rPr>
                    <w:t>G3</w:t>
                  </w:r>
                </w:p>
              </w:txbxContent>
            </v:textbox>
          </v:rect>
        </w:pict>
      </w:r>
      <w:r>
        <w:rPr>
          <w:rFonts w:hint="eastAsia" w:ascii="Calibri" w:hAnsi="Calibri" w:eastAsia="宋体" w:cs="黑体"/>
          <w:b/>
          <w:color w:val="auto"/>
          <w:kern w:val="2"/>
          <w:sz w:val="28"/>
          <w:szCs w:val="28"/>
          <w:lang w:val="en-US" w:eastAsia="zh-CN" w:bidi="ar-SA"/>
        </w:rPr>
        <w:pict>
          <v:shape id="自选图形 176" o:spid="_x0000_s1074" o:spt="32" type="#_x0000_t32" style="position:absolute;left:0pt;flip:y;margin-left:122.95pt;margin-top:23.4pt;height:17.7pt;width:0.05pt;z-index:251732992;mso-width-relative:page;mso-height-relative:page;" fillcolor="#FFFFFF" filled="t" o:preferrelative="t" stroked="t" coordsize="21600,21600">
            <v:path arrowok="t"/>
            <v:fill on="t" focussize="0,0"/>
            <v:stroke color="#000000" color2="#FFFFFF" miterlimit="2" dashstyle="dash"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shape id="自选图形 177" o:spid="_x0000_s1075" o:spt="32" type="#_x0000_t32" style="position:absolute;left:0pt;margin-left:305.9pt;margin-top:21.75pt;height:14.85pt;width:0.05pt;z-index:251728896;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rect id="矩形 178" o:spid="_x0000_s1076" o:spt="1" style="position:absolute;left:0pt;margin-left:279.7pt;margin-top:0.1pt;height:21.65pt;width:50.45pt;z-index:25172787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jc w:val="center"/>
                  </w:pPr>
                  <w:r>
                    <w:rPr>
                      <w:rFonts w:hint="eastAsia"/>
                    </w:rPr>
                    <w:t>丙烯酸</w:t>
                  </w:r>
                </w:p>
              </w:txbxContent>
            </v:textbox>
          </v:rect>
        </w:pict>
      </w:r>
      <w:r>
        <w:rPr>
          <w:rFonts w:hint="eastAsia" w:ascii="Calibri" w:hAnsi="Calibri" w:eastAsia="宋体" w:cs="黑体"/>
          <w:b/>
          <w:color w:val="auto"/>
          <w:kern w:val="2"/>
          <w:sz w:val="28"/>
          <w:szCs w:val="28"/>
          <w:lang w:val="en-US" w:eastAsia="zh-CN" w:bidi="ar-SA"/>
        </w:rPr>
        <w:pict>
          <v:rect id="矩形 179" o:spid="_x0000_s1077" o:spt="1" style="position:absolute;left:0pt;margin-left:69.85pt;margin-top:0.1pt;height:26.15pt;width:60pt;z-index:25171353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jc w:val="center"/>
                  </w:pPr>
                  <w:r>
                    <w:rPr>
                      <w:rFonts w:hint="eastAsia"/>
                    </w:rPr>
                    <w:t>双氧水</w:t>
                  </w:r>
                </w:p>
              </w:txbxContent>
            </v:textbox>
          </v:rect>
        </w:pict>
      </w:r>
      <w:r>
        <w:rPr>
          <w:rFonts w:hint="eastAsia" w:ascii="Calibri" w:hAnsi="Calibri" w:eastAsia="宋体" w:cs="黑体"/>
          <w:b/>
          <w:color w:val="auto"/>
          <w:kern w:val="2"/>
          <w:sz w:val="28"/>
          <w:szCs w:val="28"/>
          <w:lang w:val="en-US" w:eastAsia="zh-CN" w:bidi="ar-SA"/>
        </w:rPr>
        <w:pict>
          <v:shape id="自选图形 180" o:spid="_x0000_s1078" o:spt="32" type="#_x0000_t32" style="position:absolute;left:0pt;margin-left:213.55pt;margin-top:23.4pt;height:14.85pt;width:0.05pt;z-index:251702272;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rect id="矩形 181" o:spid="_x0000_s1079" o:spt="1" style="position:absolute;left:0pt;margin-left:181.75pt;margin-top:0.1pt;height:23.3pt;width:63.8pt;z-index:251701248;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pPr>
                  <w:r>
                    <w:rPr>
                      <w:rFonts w:hint="eastAsia"/>
                    </w:rPr>
                    <w:t>引发</w:t>
                  </w:r>
                </w:p>
              </w:txbxContent>
            </v:textbox>
          </v:rect>
        </w:pict>
      </w:r>
    </w:p>
    <w:p>
      <w:pPr>
        <w:rPr>
          <w:rFonts w:hint="eastAsia"/>
          <w:b/>
          <w:color w:val="auto"/>
          <w:sz w:val="28"/>
          <w:szCs w:val="28"/>
        </w:rPr>
      </w:pPr>
      <w:r>
        <w:rPr>
          <w:rFonts w:hint="eastAsia" w:ascii="Calibri" w:hAnsi="Calibri" w:eastAsia="宋体" w:cs="黑体"/>
          <w:b/>
          <w:color w:val="auto"/>
          <w:kern w:val="2"/>
          <w:sz w:val="28"/>
          <w:szCs w:val="28"/>
          <w:lang w:val="en-US" w:eastAsia="zh-CN" w:bidi="ar-SA"/>
        </w:rPr>
        <w:pict>
          <v:shape id="自选图形 182" o:spid="_x0000_s1080" o:spt="32" type="#_x0000_t32" style="position:absolute;left:0pt;flip:y;margin-left:122.95pt;margin-top:30.35pt;height:13.4pt;width:0.05pt;z-index:251731968;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rect id="矩形 183" o:spid="_x0000_s1081" o:spt="1" style="position:absolute;left:0pt;margin-left:98.65pt;margin-top:9.9pt;height:20.45pt;width:47.25pt;z-index:251715584;mso-width-relative:page;mso-height-relative:page;" fillcolor="#FFFFFF" filled="f" o:preferrelative="t" stroked="t" coordsize="21600,21600">
            <v:path/>
            <v:fill on="f" color2="#FFFFFF" focussize="0,0"/>
            <v:stroke color="#000000" color2="#FFFFFF" miterlimit="2"/>
            <v:imagedata gain="65536f" blacklevel="0f" gamma="0" o:title=""/>
            <o:lock v:ext="edit" position="f" selection="f" grouping="f" rotation="f" cropping="f" text="f" aspectratio="f"/>
            <v:textbox>
              <w:txbxContent>
                <w:p>
                  <w:pPr>
                    <w:jc w:val="center"/>
                  </w:pPr>
                  <w:r>
                    <w:rPr>
                      <w:rFonts w:hint="eastAsia"/>
                    </w:rPr>
                    <w:t>B料</w:t>
                  </w:r>
                </w:p>
              </w:txbxContent>
            </v:textbox>
          </v:rect>
        </w:pict>
      </w:r>
      <w:r>
        <w:rPr>
          <w:rFonts w:hint="eastAsia" w:ascii="Calibri" w:hAnsi="Calibri" w:eastAsia="宋体" w:cs="黑体"/>
          <w:b/>
          <w:color w:val="auto"/>
          <w:kern w:val="2"/>
          <w:sz w:val="28"/>
          <w:szCs w:val="28"/>
          <w:lang w:val="en-US" w:eastAsia="zh-CN" w:bidi="ar-SA"/>
        </w:rPr>
        <w:pict>
          <v:rect id="矩形 184" o:spid="_x0000_s1082" o:spt="1" style="position:absolute;left:0pt;margin-left:370.25pt;margin-top:7.05pt;height:24.75pt;width:53.3pt;z-index:25172480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jc w:val="center"/>
                  </w:pPr>
                  <w:r>
                    <w:rPr>
                      <w:rFonts w:hint="eastAsia"/>
                    </w:rPr>
                    <w:t>纯水</w:t>
                  </w:r>
                </w:p>
              </w:txbxContent>
            </v:textbox>
          </v:rect>
        </w:pict>
      </w:r>
      <w:r>
        <w:rPr>
          <w:rFonts w:hint="eastAsia" w:ascii="Calibri" w:hAnsi="Calibri" w:eastAsia="宋体" w:cs="黑体"/>
          <w:b/>
          <w:color w:val="auto"/>
          <w:kern w:val="2"/>
          <w:sz w:val="28"/>
          <w:szCs w:val="28"/>
          <w:lang w:val="en-US" w:eastAsia="zh-CN" w:bidi="ar-SA"/>
        </w:rPr>
        <w:pict>
          <v:shape id="自选图形 185" o:spid="_x0000_s1083" o:spt="32" type="#_x0000_t32" style="position:absolute;left:0pt;flip:x;margin-left:330.15pt;margin-top:18.05pt;height:0.05pt;width:40.1pt;z-index:251725824;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shape id="自选图形 186" o:spid="_x0000_s1084" o:spt="32" type="#_x0000_t32" style="position:absolute;left:0pt;flip:x;margin-left:246.45pt;margin-top:18.05pt;height:0.05pt;width:36.45pt;z-index:251723776;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rect id="矩形 187" o:spid="_x0000_s1085" o:spt="1" style="position:absolute;left:0pt;margin-left:282.9pt;margin-top:7.05pt;height:23.3pt;width:47.25pt;z-index:251722752;mso-width-relative:page;mso-height-relative:page;" fillcolor="#FFFFFF" filled="f" o:preferrelative="t" stroked="t" coordsize="21600,21600">
            <v:path/>
            <v:fill on="f" color2="#FFFFFF" focussize="0,0"/>
            <v:stroke color="#000000" color2="#FFFFFF" miterlimit="2"/>
            <v:imagedata gain="65536f" blacklevel="0f" gamma="0" o:title=""/>
            <o:lock v:ext="edit" position="f" selection="f" grouping="f" rotation="f" cropping="f" text="f" aspectratio="f"/>
            <v:textbox>
              <w:txbxContent>
                <w:p>
                  <w:pPr>
                    <w:jc w:val="center"/>
                  </w:pPr>
                  <w:r>
                    <w:rPr>
                      <w:rFonts w:hint="eastAsia"/>
                    </w:rPr>
                    <w:t>A料</w:t>
                  </w:r>
                </w:p>
              </w:txbxContent>
            </v:textbox>
          </v:rect>
        </w:pict>
      </w:r>
      <w:r>
        <w:rPr>
          <w:rFonts w:hint="eastAsia" w:ascii="Calibri" w:hAnsi="Calibri" w:eastAsia="宋体" w:cs="黑体"/>
          <w:b/>
          <w:color w:val="auto"/>
          <w:kern w:val="2"/>
          <w:sz w:val="28"/>
          <w:szCs w:val="28"/>
          <w:lang w:val="en-US" w:eastAsia="zh-CN" w:bidi="ar-SA"/>
        </w:rPr>
        <w:pict>
          <v:rect id="矩形 188" o:spid="_x0000_s1086" o:spt="1" style="position:absolute;left:0pt;margin-left:-4pt;margin-top:7.05pt;height:23.3pt;width:68.55pt;z-index:25171763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jc w:val="center"/>
                  </w:pPr>
                  <w:r>
                    <w:rPr>
                      <w:rFonts w:hint="eastAsia"/>
                    </w:rPr>
                    <w:t>巯基丙酸</w:t>
                  </w:r>
                </w:p>
              </w:txbxContent>
            </v:textbox>
          </v:rect>
        </w:pict>
      </w:r>
      <w:r>
        <w:rPr>
          <w:rFonts w:hint="eastAsia" w:ascii="Calibri" w:hAnsi="Calibri" w:eastAsia="宋体" w:cs="黑体"/>
          <w:b/>
          <w:color w:val="auto"/>
          <w:kern w:val="2"/>
          <w:sz w:val="28"/>
          <w:szCs w:val="28"/>
          <w:lang w:val="en-US" w:eastAsia="zh-CN" w:bidi="ar-SA"/>
        </w:rPr>
        <w:pict>
          <v:shape id="自选图形 189" o:spid="_x0000_s1087" o:spt="32" type="#_x0000_t32" style="position:absolute;left:0pt;margin-left:67.2pt;margin-top:18.05pt;height:0.05pt;width:31.45pt;z-index:251716608;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shape id="自选图形 190" o:spid="_x0000_s1088" o:spt="32" type="#_x0000_t32" style="position:absolute;left:0pt;margin-left:145.9pt;margin-top:17.95pt;height:0.05pt;width:35.85pt;z-index:251714560;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shape id="自选图形 191" o:spid="_x0000_s1089" o:spt="32" type="#_x0000_t32" style="position:absolute;left:0pt;margin-left:213.55pt;margin-top:30.35pt;height:14.85pt;width:0.05pt;z-index:251704320;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rect id="矩形 192" o:spid="_x0000_s1090" o:spt="1" style="position:absolute;left:0pt;margin-left:181.75pt;margin-top:7.05pt;height:23.3pt;width:63.8pt;z-index:251703296;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pPr>
                  <w:r>
                    <w:rPr>
                      <w:rFonts w:hint="eastAsia"/>
                    </w:rPr>
                    <w:t>聚合</w:t>
                  </w:r>
                </w:p>
              </w:txbxContent>
            </v:textbox>
          </v:rect>
        </w:pict>
      </w:r>
    </w:p>
    <w:p>
      <w:pPr>
        <w:rPr>
          <w:rFonts w:hint="eastAsia"/>
          <w:b/>
          <w:color w:val="auto"/>
          <w:sz w:val="28"/>
          <w:szCs w:val="28"/>
        </w:rPr>
      </w:pPr>
      <w:r>
        <w:rPr>
          <w:rFonts w:hint="eastAsia" w:ascii="Calibri" w:hAnsi="Calibri" w:eastAsia="宋体" w:cs="黑体"/>
          <w:b/>
          <w:color w:val="auto"/>
          <w:kern w:val="2"/>
          <w:sz w:val="28"/>
          <w:szCs w:val="28"/>
          <w:lang w:val="en-US" w:eastAsia="zh-CN" w:bidi="ar-SA"/>
        </w:rPr>
        <w:pict>
          <v:rect id="矩形 193" o:spid="_x0000_s1091" o:spt="1" style="position:absolute;left:0pt;margin-left:98.65pt;margin-top:7.45pt;height:21.65pt;width:50.45pt;z-index:25172684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jc w:val="center"/>
                  </w:pPr>
                  <w:r>
                    <w:rPr>
                      <w:rFonts w:hint="eastAsia"/>
                    </w:rPr>
                    <w:t>纯水</w:t>
                  </w:r>
                </w:p>
              </w:txbxContent>
            </v:textbox>
          </v:rect>
        </w:pict>
      </w:r>
      <w:r>
        <w:rPr>
          <w:rFonts w:hint="eastAsia" w:ascii="Calibri" w:hAnsi="Calibri" w:eastAsia="宋体" w:cs="黑体"/>
          <w:b/>
          <w:color w:val="auto"/>
          <w:kern w:val="2"/>
          <w:sz w:val="28"/>
          <w:szCs w:val="28"/>
          <w:lang w:val="en-US" w:eastAsia="zh-CN" w:bidi="ar-SA"/>
        </w:rPr>
        <w:pict>
          <v:rect id="矩形 194" o:spid="_x0000_s1092" o:spt="1" style="position:absolute;left:0pt;margin-left:67.2pt;margin-top:18.65pt;height:26.15pt;width:76.05pt;z-index:25171968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jc w:val="center"/>
                  </w:pPr>
                  <w:r>
                    <w:rPr>
                      <w:rFonts w:hint="eastAsia"/>
                    </w:rPr>
                    <w:t>32%液碱</w:t>
                  </w:r>
                </w:p>
              </w:txbxContent>
            </v:textbox>
          </v:rect>
        </w:pict>
      </w:r>
      <w:r>
        <w:rPr>
          <w:rFonts w:hint="eastAsia" w:ascii="Calibri" w:hAnsi="Calibri" w:eastAsia="宋体" w:cs="黑体"/>
          <w:b/>
          <w:color w:val="auto"/>
          <w:kern w:val="2"/>
          <w:sz w:val="28"/>
          <w:szCs w:val="28"/>
          <w:lang w:val="en-US" w:eastAsia="zh-CN" w:bidi="ar-SA"/>
        </w:rPr>
        <w:pict>
          <v:shape id="自选图形 195" o:spid="_x0000_s1093" o:spt="32" type="#_x0000_t32" style="position:absolute;left:0pt;margin-left:145.9pt;margin-top:26.25pt;height:0.05pt;width:35.85pt;z-index:251718656;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rect id="矩形 196" o:spid="_x0000_s1094" o:spt="1" style="position:absolute;left:0pt;margin-left:181.75pt;margin-top:14pt;height:23.3pt;width:63.8pt;z-index:251705344;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pPr>
                  <w:r>
                    <w:rPr>
                      <w:rFonts w:hint="eastAsia"/>
                    </w:rPr>
                    <w:t>中和</w:t>
                  </w:r>
                </w:p>
              </w:txbxContent>
            </v:textbox>
          </v:rect>
        </w:pict>
      </w:r>
    </w:p>
    <w:p>
      <w:pPr>
        <w:rPr>
          <w:rFonts w:hint="eastAsia"/>
          <w:b/>
          <w:color w:val="auto"/>
          <w:sz w:val="28"/>
          <w:szCs w:val="28"/>
        </w:rPr>
      </w:pPr>
      <w:r>
        <w:rPr>
          <w:rFonts w:ascii="Calibri" w:hAnsi="Calibri" w:eastAsia="宋体" w:cs="黑体"/>
          <w:color w:val="auto"/>
          <w:kern w:val="2"/>
          <w:sz w:val="21"/>
          <w:szCs w:val="22"/>
          <w:lang w:val="en-US" w:eastAsia="zh-CN" w:bidi="ar-SA"/>
        </w:rPr>
        <w:pict>
          <v:rect id="矩形 197" o:spid="_x0000_s1095" o:spt="1" style="position:absolute;left:0pt;margin-left:282.9pt;margin-top:19.5pt;height:24.75pt;width:53.3pt;z-index:25173094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jc w:val="center"/>
                  </w:pPr>
                  <w:r>
                    <w:rPr>
                      <w:rFonts w:hint="eastAsia"/>
                    </w:rPr>
                    <w:t>自来水</w:t>
                  </w:r>
                </w:p>
              </w:txbxContent>
            </v:textbox>
          </v:rect>
        </w:pict>
      </w:r>
      <w:r>
        <w:rPr>
          <w:rFonts w:ascii="Calibri" w:hAnsi="Calibri" w:eastAsia="宋体" w:cs="黑体"/>
          <w:color w:val="auto"/>
          <w:kern w:val="2"/>
          <w:sz w:val="21"/>
          <w:szCs w:val="22"/>
          <w:lang w:val="en-US" w:eastAsia="zh-CN" w:bidi="ar-SA"/>
        </w:rPr>
        <w:pict>
          <v:shape id="自选图形 198" o:spid="_x0000_s1096" o:spt="32" type="#_x0000_t32" style="position:absolute;left:0pt;flip:x;margin-left:245.55pt;margin-top:30.5pt;height:0.05pt;width:36.45pt;z-index:251729920;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ascii="Calibri" w:hAnsi="Calibri" w:eastAsia="宋体" w:cs="黑体"/>
          <w:color w:val="auto"/>
          <w:kern w:val="2"/>
          <w:sz w:val="21"/>
          <w:szCs w:val="22"/>
          <w:lang w:val="en-US" w:eastAsia="zh-CN" w:bidi="ar-SA"/>
        </w:rPr>
        <w:pict>
          <v:rect id="矩形 199" o:spid="_x0000_s1097" o:spt="1" style="position:absolute;left:0pt;margin-left:73.1pt;margin-top:20.95pt;height:26.15pt;width:76.05pt;z-index:25172070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jc w:val="center"/>
                  </w:pPr>
                  <w:r>
                    <w:rPr>
                      <w:rFonts w:hint="eastAsia"/>
                    </w:rPr>
                    <w:t>葡萄糖酸钠</w:t>
                  </w:r>
                </w:p>
              </w:txbxContent>
            </v:textbox>
          </v:rect>
        </w:pict>
      </w:r>
      <w:r>
        <w:rPr>
          <w:rFonts w:hint="eastAsia" w:ascii="Calibri" w:hAnsi="Calibri" w:eastAsia="宋体" w:cs="黑体"/>
          <w:b/>
          <w:color w:val="auto"/>
          <w:kern w:val="2"/>
          <w:sz w:val="28"/>
          <w:szCs w:val="28"/>
          <w:lang w:val="en-US" w:eastAsia="zh-CN" w:bidi="ar-SA"/>
        </w:rPr>
        <w:pict>
          <v:rect id="矩形 200" o:spid="_x0000_s1098" o:spt="1" style="position:absolute;left:0pt;margin-left:181.75pt;margin-top:20.95pt;height:23.3pt;width:63.8pt;z-index:251706368;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pPr>
                  <w:r>
                    <w:rPr>
                      <w:rFonts w:hint="eastAsia"/>
                    </w:rPr>
                    <w:t>母液</w:t>
                  </w:r>
                </w:p>
              </w:txbxContent>
            </v:textbox>
          </v:rect>
        </w:pict>
      </w:r>
      <w:r>
        <w:rPr>
          <w:rFonts w:hint="eastAsia" w:ascii="Calibri" w:hAnsi="Calibri" w:eastAsia="宋体" w:cs="黑体"/>
          <w:b/>
          <w:color w:val="auto"/>
          <w:kern w:val="2"/>
          <w:sz w:val="28"/>
          <w:szCs w:val="28"/>
          <w:lang w:val="en-US" w:eastAsia="zh-CN" w:bidi="ar-SA"/>
        </w:rPr>
        <w:pict>
          <v:shape id="自选图形 201" o:spid="_x0000_s1099" o:spt="32" type="#_x0000_t32" style="position:absolute;left:0pt;margin-left:213.55pt;margin-top:6.1pt;height:14.85pt;width:0.05pt;z-index:251707392;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p>
    <w:p>
      <w:pPr>
        <w:rPr>
          <w:rFonts w:hint="eastAsia"/>
          <w:b/>
          <w:color w:val="auto"/>
          <w:sz w:val="28"/>
          <w:szCs w:val="28"/>
        </w:rPr>
      </w:pPr>
      <w:r>
        <w:rPr>
          <w:rFonts w:ascii="Calibri" w:hAnsi="Calibri" w:eastAsia="宋体" w:cs="黑体"/>
          <w:color w:val="auto"/>
          <w:kern w:val="2"/>
          <w:sz w:val="21"/>
          <w:szCs w:val="22"/>
          <w:lang w:val="en-US" w:eastAsia="zh-CN" w:bidi="ar-SA"/>
        </w:rPr>
        <w:pict>
          <v:shape id="自选图形 202" o:spid="_x0000_s1100" o:spt="32" type="#_x0000_t32" style="position:absolute;left:0pt;margin-left:145.9pt;margin-top:1pt;height:0.05pt;width:35.85pt;z-index:251721728;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ascii="Calibri" w:hAnsi="Calibri" w:eastAsia="宋体" w:cs="黑体"/>
          <w:color w:val="auto"/>
          <w:kern w:val="2"/>
          <w:sz w:val="21"/>
          <w:szCs w:val="22"/>
          <w:lang w:val="en-US" w:eastAsia="zh-CN" w:bidi="ar-SA"/>
        </w:rPr>
        <w:pict>
          <v:rect id="矩形 203" o:spid="_x0000_s1101" o:spt="1" style="position:absolute;left:0pt;margin-left:181.75pt;margin-top:27.9pt;height:23.3pt;width:63.8pt;z-index:251709440;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pPr>
                  <w:r>
                    <w:rPr>
                      <w:rFonts w:hint="eastAsia"/>
                    </w:rPr>
                    <w:t>成品</w:t>
                  </w:r>
                </w:p>
              </w:txbxContent>
            </v:textbox>
          </v:rect>
        </w:pict>
      </w:r>
      <w:r>
        <w:rPr>
          <w:rFonts w:hint="eastAsia" w:ascii="Calibri" w:hAnsi="Calibri" w:eastAsia="宋体" w:cs="黑体"/>
          <w:b/>
          <w:color w:val="auto"/>
          <w:kern w:val="2"/>
          <w:sz w:val="28"/>
          <w:szCs w:val="28"/>
          <w:lang w:val="en-US" w:eastAsia="zh-CN" w:bidi="ar-SA"/>
        </w:rPr>
        <w:pict>
          <v:shape id="自选图形 204" o:spid="_x0000_s1102" o:spt="32" type="#_x0000_t32" style="position:absolute;left:0pt;margin-left:213.55pt;margin-top:13.05pt;height:14.85pt;width:0.05pt;z-index:251708416;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p>
    <w:p>
      <w:pPr>
        <w:rPr>
          <w:rFonts w:hint="eastAsia"/>
          <w:b/>
          <w:color w:val="auto"/>
          <w:sz w:val="28"/>
          <w:szCs w:val="28"/>
        </w:rPr>
      </w:pPr>
      <w:r>
        <w:rPr>
          <w:rFonts w:ascii="Calibri" w:hAnsi="Calibri" w:eastAsia="宋体" w:cs="黑体"/>
          <w:color w:val="auto"/>
          <w:kern w:val="2"/>
          <w:sz w:val="21"/>
          <w:szCs w:val="22"/>
          <w:lang w:val="en-US" w:eastAsia="zh-CN" w:bidi="ar-SA"/>
        </w:rPr>
        <w:pict>
          <v:shape id="自选图形 205" o:spid="_x0000_s1103" o:spt="32" type="#_x0000_t32" style="position:absolute;left:0pt;margin-left:213.55pt;margin-top:20pt;height:14.85pt;width:0.05pt;z-index:251710464;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p>
    <w:p>
      <w:pPr>
        <w:rPr>
          <w:rFonts w:hint="eastAsia"/>
          <w:b/>
          <w:color w:val="auto"/>
          <w:sz w:val="28"/>
          <w:szCs w:val="28"/>
        </w:rPr>
      </w:pPr>
      <w:r>
        <w:rPr>
          <w:rFonts w:ascii="Calibri" w:hAnsi="Calibri" w:eastAsia="宋体" w:cs="黑体"/>
          <w:color w:val="auto"/>
          <w:kern w:val="2"/>
          <w:sz w:val="21"/>
          <w:szCs w:val="22"/>
          <w:lang w:val="en-US" w:eastAsia="zh-CN" w:bidi="ar-SA"/>
        </w:rPr>
        <w:pict>
          <v:rect id="矩形 206" o:spid="_x0000_s1104" o:spt="1" style="position:absolute;left:0pt;margin-left:181.75pt;margin-top:3.65pt;height:23.3pt;width:63.8pt;z-index:251711488;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pPr>
                  <w:r>
                    <w:rPr>
                      <w:rFonts w:hint="eastAsia"/>
                    </w:rPr>
                    <w:t>装桶</w:t>
                  </w:r>
                </w:p>
              </w:txbxContent>
            </v:textbox>
          </v:rect>
        </w:pict>
      </w:r>
      <w:r>
        <w:rPr>
          <w:rFonts w:ascii="Calibri" w:hAnsi="Calibri" w:eastAsia="宋体" w:cs="黑体"/>
          <w:color w:val="auto"/>
          <w:kern w:val="2"/>
          <w:sz w:val="21"/>
          <w:szCs w:val="22"/>
          <w:lang w:val="en-US" w:eastAsia="zh-CN" w:bidi="ar-SA"/>
        </w:rPr>
        <w:pict>
          <v:rect id="文本框 207" o:spid="_x0000_s1105" o:spt="1" style="position:absolute;left:0pt;margin-left:266pt;margin-top:14.25pt;height:24.3pt;width:52.4pt;z-index:25169305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snapToGrid w:val="0"/>
                    <w:jc w:val="center"/>
                    <w:rPr>
                      <w:rFonts w:ascii="宋体" w:hAnsi="宋体"/>
                    </w:rPr>
                  </w:pPr>
                </w:p>
              </w:txbxContent>
            </v:textbox>
          </v:rect>
        </w:pict>
      </w:r>
    </w:p>
    <w:p>
      <w:pPr>
        <w:rPr>
          <w:rFonts w:hint="eastAsia"/>
          <w:b/>
          <w:color w:val="auto"/>
          <w:sz w:val="28"/>
          <w:szCs w:val="28"/>
        </w:rPr>
      </w:pPr>
      <w:r>
        <w:rPr>
          <w:rFonts w:ascii="Calibri" w:hAnsi="Calibri" w:eastAsia="宋体" w:cs="黑体"/>
          <w:color w:val="auto"/>
          <w:kern w:val="2"/>
          <w:sz w:val="21"/>
          <w:szCs w:val="22"/>
          <w:lang w:val="en-US" w:eastAsia="zh-CN" w:bidi="ar-SA"/>
        </w:rPr>
        <w:pict>
          <v:rect id="文本框 208" o:spid="_x0000_s1106" o:spt="1" style="position:absolute;left:0pt;margin-left:67.2pt;margin-top:12.15pt;height:60.65pt;width:284.9pt;z-index:25169408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snapToGrid w:val="0"/>
                    <w:spacing w:line="360" w:lineRule="auto"/>
                    <w:jc w:val="center"/>
                    <w:rPr>
                      <w:rFonts w:hint="default" w:ascii="Times New Roman" w:hAnsi="Times New Roman" w:eastAsia="仿宋" w:cs="Times New Roman"/>
                      <w:sz w:val="24"/>
                      <w:szCs w:val="24"/>
                    </w:rPr>
                  </w:pPr>
                  <w:r>
                    <w:rPr>
                      <w:rFonts w:hint="default" w:ascii="Times New Roman" w:hAnsi="Times New Roman" w:eastAsia="仿宋" w:cs="Times New Roman"/>
                      <w:kern w:val="2"/>
                      <w:sz w:val="24"/>
                      <w:szCs w:val="24"/>
                      <w:lang w:val="en-US" w:eastAsia="zh-CN" w:bidi="ar-SA"/>
                    </w:rPr>
                    <w:pict>
                      <v:shape id="_x0000_i1025" o:spt="75" type="#_x0000_t75" style="height:13.65pt;width:27.7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r>
                    <w:rPr>
                      <w:rFonts w:hint="default" w:ascii="Times New Roman" w:hAnsi="Times New Roman" w:eastAsia="仿宋" w:cs="Times New Roman"/>
                      <w:sz w:val="24"/>
                      <w:szCs w:val="24"/>
                    </w:rPr>
                    <w:t xml:space="preserve"> 聚合反应釜、G：废气</w:t>
                  </w:r>
                </w:p>
                <w:p>
                  <w:pPr>
                    <w:snapToGrid w:val="0"/>
                    <w:spacing w:line="36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图3.4-1  聚羧酸外加剂生产工艺流程</w:t>
                  </w:r>
                </w:p>
                <w:p>
                  <w:pPr>
                    <w:snapToGrid w:val="0"/>
                    <w:jc w:val="center"/>
                    <w:rPr>
                      <w:rFonts w:hint="default" w:ascii="Times New Roman" w:hAnsi="Times New Roman" w:eastAsia="仿宋" w:cs="Times New Roman"/>
                      <w:sz w:val="24"/>
                      <w:szCs w:val="24"/>
                    </w:rPr>
                  </w:pPr>
                </w:p>
              </w:txbxContent>
            </v:textbox>
          </v:rect>
        </w:pict>
      </w:r>
    </w:p>
    <w:p>
      <w:pPr>
        <w:tabs>
          <w:tab w:val="left" w:pos="1200"/>
        </w:tabs>
        <w:spacing w:line="240" w:lineRule="auto"/>
        <w:ind w:firstLine="562" w:firstLineChars="200"/>
        <w:jc w:val="both"/>
        <w:rPr>
          <w:rFonts w:hint="eastAsia" w:ascii="仿宋" w:hAnsi="仿宋" w:eastAsia="仿宋" w:cs="仿宋"/>
          <w:b/>
          <w:color w:val="auto"/>
          <w:sz w:val="28"/>
          <w:szCs w:val="28"/>
        </w:rPr>
      </w:pPr>
    </w:p>
    <w:p>
      <w:pPr>
        <w:tabs>
          <w:tab w:val="left" w:pos="1200"/>
        </w:tabs>
        <w:spacing w:line="240" w:lineRule="auto"/>
        <w:ind w:firstLine="562" w:firstLineChars="200"/>
        <w:jc w:val="both"/>
        <w:rPr>
          <w:rFonts w:hint="eastAsia" w:ascii="仿宋" w:hAnsi="仿宋" w:eastAsia="仿宋" w:cs="仿宋"/>
          <w:b/>
          <w:color w:val="auto"/>
          <w:sz w:val="28"/>
          <w:szCs w:val="28"/>
        </w:rPr>
      </w:pPr>
      <w:r>
        <w:rPr>
          <w:rFonts w:hint="eastAsia" w:ascii="仿宋" w:hAnsi="仿宋" w:eastAsia="仿宋" w:cs="仿宋"/>
          <w:b/>
          <w:color w:val="auto"/>
          <w:sz w:val="28"/>
          <w:szCs w:val="28"/>
        </w:rPr>
        <w:t>工艺流程说明：</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（1）备料、投料混合</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丙烯酸计量后和一定比例的水配成A料；巯基丙酸、维生素 C 计量后和一定比例的水配成B料；将计量的聚醚直接加入预反应釜内，与纯水进行搅拌，温度 20-38℃，备料完毕。配制A和B料的过程中，配料罐均密闭，采用机械真空泵进行输配料。其中聚醚投料混合的详细工艺流程为：加完纯水后，打开所用聚醚储料罐的底下阀门，打开供料泵上下游手阀，其他聚醚储料罐底下阀门处于关闭状态。打开通往称量罐的阀门，确保这个管线处于畅通后，控制室方可输入所需要聚醚数量，启动供料程序并投入联锁装置。同时现场观察有无聚醚液体入罐。若无液体，立刻停止供料，重新检查管线和自动阀门。当称量罐中的液体聚醚重量达到设计值时，打开入料泵上下游手阀，启动入料泵。同时观察反应釜中是否有聚醚液体流入，若没有，立刻停止入料泵，重新检查管线和自动阀。聚醚投料采用液泵输送。</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（2）引发</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当聚醚和纯水向反应釜加完后，搅拌 3 分钟，观察反应釜中的温度，反应釜温度设定是 20℃±3℃，温度低于设定值时，启动蒸汽加热，检查蒸汽管线是否畅通，检查完后输入设定值，启动加热按钮，并投入联锁装置。若反应釜中物料高于设定值，启动降温程序。输入降温的设定值，启动按钮并投入联锁。当反应釜中的物料温度达到设定值时，加入引发剂双氧水，继续搅拌1分钟。</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（3）聚合反应</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同时滴加A和 B料。滴加时间A混合料120±5分钟，B混合料150±5分钟。滴加时间输入A为120 分钟，B为150分钟，输入完后，启动滴加程序，滴加过程中温度会缓慢升温到35-60℃，滴加完成后继续保温搅拌1h，完成聚合反应。该反应过程为常压聚合，在反应的过程中会产生一定量的挥发性有机废气（G2）。</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（4）中和反应</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经过聚合后的物料待温度降低后，加入一定量的32%氢氧化钠溶液，打开液碱储料罐底阀门，输入液碱进料数量，启动供料程序，搅拌10分钟以上，确保其均匀后，调节pH值为5~7。</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（5）复配、成品</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中和反应后溶液即为母液，泵送至罐区储存。母液生产所得为浓度45%的高分子共聚物。复配以45%的母液、葡萄糖酸钠及自来水为主要原材料，稀释成不同浓度的减水剂（浓度约为10-20%，水约占 80-90%），应用于实际混凝土工程。</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（6）灌装</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经复配后的成品，再通过进行灌装。</w:t>
      </w:r>
    </w:p>
    <w:p>
      <w:pPr>
        <w:wordWrap/>
        <w:adjustRightInd w:val="0"/>
        <w:snapToGrid w:val="0"/>
        <w:spacing w:line="240" w:lineRule="auto"/>
        <w:ind w:firstLine="560" w:firstLineChars="200"/>
        <w:textAlignment w:val="auto"/>
        <w:rPr>
          <w:rFonts w:hint="eastAsia" w:ascii="Times New Roman" w:hAnsi="Times New Roman" w:eastAsia="仿宋"/>
          <w:color w:val="auto"/>
          <w:sz w:val="28"/>
          <w:szCs w:val="28"/>
          <w:lang w:eastAsia="zh-CN"/>
        </w:rPr>
      </w:pPr>
      <w:r>
        <w:rPr>
          <w:rFonts w:hint="eastAsia" w:ascii="Times New Roman" w:hAnsi="Times New Roman" w:eastAsia="仿宋_GB2312" w:cs="Times New Roman"/>
          <w:color w:val="auto"/>
          <w:sz w:val="28"/>
          <w:szCs w:val="28"/>
          <w:lang w:val="en-US" w:eastAsia="zh-CN"/>
        </w:rPr>
        <w:t>聚羧酸系外加剂生产线生产工艺流程及产污环节见图3.4-1。</w:t>
      </w:r>
    </w:p>
    <w:p>
      <w:pPr>
        <w:tabs>
          <w:tab w:val="left" w:pos="1200"/>
        </w:tabs>
        <w:spacing w:line="360" w:lineRule="auto"/>
        <w:ind w:firstLine="562" w:firstLineChars="200"/>
        <w:jc w:val="both"/>
        <w:outlineLvl w:val="2"/>
        <w:rPr>
          <w:rFonts w:hint="default" w:ascii="Times New Roman" w:hAnsi="Times New Roman" w:eastAsia="仿宋" w:cs="Times New Roman"/>
          <w:b/>
          <w:color w:val="auto"/>
          <w:sz w:val="28"/>
          <w:szCs w:val="28"/>
        </w:rPr>
      </w:pPr>
      <w:bookmarkStart w:id="40" w:name="_Toc2133"/>
      <w:r>
        <w:rPr>
          <w:rFonts w:hint="default" w:ascii="Times New Roman" w:hAnsi="Times New Roman" w:eastAsia="仿宋" w:cs="Times New Roman"/>
          <w:b/>
          <w:color w:val="auto"/>
          <w:sz w:val="28"/>
          <w:szCs w:val="28"/>
          <w:lang w:val="en-US" w:eastAsia="zh-CN"/>
        </w:rPr>
        <w:t>3.4.2产污环节及治理措施</w:t>
      </w:r>
      <w:bookmarkEnd w:id="40"/>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本公司营运期主要污染物为有机废气、生活污水、设备冲洗水、实验室废水、</w:t>
      </w:r>
      <w:r>
        <w:rPr>
          <w:rFonts w:hint="eastAsia" w:ascii="Times New Roman" w:hAnsi="Times New Roman" w:eastAsia="仿宋_GB2312" w:cs="Times New Roman"/>
          <w:color w:val="auto"/>
          <w:sz w:val="28"/>
          <w:szCs w:val="28"/>
          <w:lang w:val="en-US" w:eastAsia="zh-CN"/>
        </w:rPr>
        <w:t>软</w:t>
      </w:r>
      <w:r>
        <w:rPr>
          <w:rFonts w:hint="default" w:ascii="Times New Roman" w:hAnsi="Times New Roman" w:eastAsia="仿宋_GB2312" w:cs="Times New Roman"/>
          <w:color w:val="auto"/>
          <w:sz w:val="28"/>
          <w:szCs w:val="28"/>
          <w:lang w:val="en-US" w:eastAsia="zh-CN"/>
        </w:rPr>
        <w:t xml:space="preserve">水制备浓水、喷淋塔废水、初期雨水、噪声以及固废。 </w:t>
      </w:r>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（1）废气及治理设施 </w:t>
      </w:r>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配料工序、聚合反应产生的有机废气经管道收集，灌装工序产生的有机废气经集气罩收集，罐区大小呼吸产生的废气经管道微负压收集，一并经</w:t>
      </w:r>
      <w:r>
        <w:rPr>
          <w:rFonts w:hint="eastAsia"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一级纯水洗+一级碱洗+除雾干燥+活性炭吸附装置</w:t>
      </w:r>
      <w:r>
        <w:rPr>
          <w:rFonts w:hint="eastAsia"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处理后，通过17m高排气筒排放。</w:t>
      </w:r>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（2）废水及治理设施</w:t>
      </w:r>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生活污水经化粪池处理后，与地面冲洗水、实验室清洗废水、废气治理碱喷淋塔定期排放的废水及初期雨水一并经</w:t>
      </w:r>
      <w:r>
        <w:rPr>
          <w:rFonts w:hint="eastAsia"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格栅+调节</w:t>
      </w:r>
      <w:r>
        <w:rPr>
          <w:rFonts w:hint="eastAsia"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A/O+二沉池</w:t>
      </w:r>
      <w:r>
        <w:rPr>
          <w:rFonts w:hint="eastAsia"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处理后，接管至徐州工业园区污水处理厂进一步处理。软水制备废水经管道排至排放口，接管至徐州工业园区污水处理厂进一步处理。</w:t>
      </w:r>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（3）噪声及治理设施</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循环水泵、风机、空压机、搅拌设备等产生的噪音，选用低噪音设备，合理布局，采取隔声、消声、减震等降噪措施。</w:t>
      </w:r>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（4）固体废物及治理设施</w:t>
      </w:r>
    </w:p>
    <w:p>
      <w:pPr>
        <w:wordWrap/>
        <w:adjustRightInd w:val="0"/>
        <w:snapToGrid w:val="0"/>
        <w:spacing w:line="240" w:lineRule="auto"/>
        <w:ind w:firstLine="560" w:firstLineChars="200"/>
        <w:textAlignment w:val="auto"/>
        <w:rPr>
          <w:rFonts w:hint="eastAsia" w:ascii="Times New Roman" w:hAnsi="Times New Roman" w:eastAsia="仿宋" w:cs="Times New Roman"/>
          <w:color w:val="auto"/>
          <w:kern w:val="0"/>
          <w:sz w:val="28"/>
          <w:szCs w:val="28"/>
          <w:lang w:val="en-US" w:eastAsia="zh-CN"/>
        </w:rPr>
      </w:pPr>
      <w:r>
        <w:rPr>
          <w:rFonts w:hint="eastAsia" w:ascii="Times New Roman" w:hAnsi="Times New Roman" w:eastAsia="仿宋_GB2312" w:cs="Times New Roman"/>
          <w:color w:val="auto"/>
          <w:sz w:val="28"/>
          <w:szCs w:val="28"/>
          <w:lang w:val="en-US" w:eastAsia="zh-CN"/>
        </w:rPr>
        <w:t>本项目产生的污泥、废活性炭、废包装材料、实验室废液暂存于厂区危废暂存库，定期交有资质的单位处置。</w:t>
      </w:r>
    </w:p>
    <w:p>
      <w:pPr>
        <w:widowControl/>
        <w:wordWrap/>
        <w:spacing w:beforeAutospacing="0" w:line="360" w:lineRule="auto"/>
        <w:jc w:val="left"/>
        <w:textAlignment w:val="auto"/>
        <w:outlineLvl w:val="2"/>
        <w:rPr>
          <w:rFonts w:hint="eastAsia" w:ascii="Times New Roman" w:hAnsi="仿宋" w:eastAsia="仿宋" w:cs="Times New Roman"/>
          <w:b/>
          <w:bCs/>
          <w:color w:val="auto"/>
          <w:kern w:val="0"/>
          <w:sz w:val="28"/>
          <w:szCs w:val="28"/>
          <w:lang w:val="en-US" w:eastAsia="zh-CN"/>
        </w:rPr>
      </w:pPr>
      <w:bookmarkStart w:id="41" w:name="_Toc24655"/>
      <w:r>
        <w:rPr>
          <w:rFonts w:hint="eastAsia" w:ascii="Times New Roman" w:hAnsi="仿宋" w:eastAsia="仿宋" w:cs="Times New Roman"/>
          <w:b/>
          <w:bCs/>
          <w:color w:val="auto"/>
          <w:kern w:val="0"/>
          <w:sz w:val="28"/>
          <w:szCs w:val="28"/>
          <w:lang w:val="en-US" w:eastAsia="zh-CN"/>
        </w:rPr>
        <w:t>3.4.3主要构筑物和生产设备</w:t>
      </w:r>
      <w:bookmarkEnd w:id="41"/>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江苏超力建材科技有限公司主要构筑物一览表见表3.4-1，公用工程和环保工程一览表3.4-2，生产设备一览表见3.4-3。</w:t>
      </w:r>
    </w:p>
    <w:p>
      <w:pPr>
        <w:widowControl w:val="0"/>
        <w:wordWrap/>
        <w:adjustRightInd/>
        <w:snapToGrid/>
        <w:spacing w:line="360" w:lineRule="auto"/>
        <w:ind w:firstLine="0" w:firstLineChars="0"/>
        <w:jc w:val="center"/>
        <w:textAlignment w:val="auto"/>
        <w:rPr>
          <w:rFonts w:hint="eastAsia" w:ascii="Times New Roman" w:hAnsi="Times New Roman" w:eastAsia="仿宋" w:cs="Times New Roman"/>
          <w:b/>
          <w:bCs/>
          <w:color w:val="auto"/>
          <w:sz w:val="24"/>
          <w:szCs w:val="24"/>
          <w:lang w:val="en-US" w:eastAsia="zh-CN"/>
        </w:rPr>
      </w:pPr>
      <w:r>
        <w:rPr>
          <w:rFonts w:hint="eastAsia" w:ascii="Times New Roman" w:hAnsi="Times New Roman" w:eastAsia="仿宋" w:cs="Times New Roman"/>
          <w:b/>
          <w:bCs/>
          <w:color w:val="auto"/>
          <w:sz w:val="24"/>
          <w:szCs w:val="24"/>
          <w:lang w:val="en-US" w:eastAsia="zh-CN"/>
        </w:rPr>
        <w:t>表3.4-1主要构筑物一览表</w:t>
      </w:r>
    </w:p>
    <w:tbl>
      <w:tblPr>
        <w:tblStyle w:val="21"/>
        <w:tblW w:w="85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16"/>
        <w:gridCol w:w="1142"/>
        <w:gridCol w:w="1420"/>
        <w:gridCol w:w="1123"/>
        <w:gridCol w:w="851"/>
        <w:gridCol w:w="850"/>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77"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1416"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建筑物称</w:t>
            </w:r>
          </w:p>
        </w:tc>
        <w:tc>
          <w:tcPr>
            <w:tcW w:w="1142"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建筑面积（m</w:t>
            </w:r>
            <w:r>
              <w:rPr>
                <w:rFonts w:hint="default" w:ascii="Times New Roman" w:hAnsi="Times New Roman" w:eastAsia="仿宋" w:cs="Times New Roman"/>
                <w:b/>
                <w:color w:val="auto"/>
                <w:sz w:val="21"/>
                <w:szCs w:val="21"/>
                <w:vertAlign w:val="superscript"/>
              </w:rPr>
              <w:t>2</w:t>
            </w:r>
            <w:r>
              <w:rPr>
                <w:rFonts w:hint="default" w:ascii="Times New Roman" w:hAnsi="Times New Roman" w:eastAsia="仿宋" w:cs="Times New Roman"/>
                <w:b/>
                <w:color w:val="auto"/>
                <w:sz w:val="21"/>
                <w:szCs w:val="21"/>
              </w:rPr>
              <w:t>）</w:t>
            </w:r>
          </w:p>
        </w:tc>
        <w:tc>
          <w:tcPr>
            <w:tcW w:w="1420"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建筑结构</w:t>
            </w:r>
          </w:p>
        </w:tc>
        <w:tc>
          <w:tcPr>
            <w:tcW w:w="1123"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火灾危险类别</w:t>
            </w:r>
          </w:p>
        </w:tc>
        <w:tc>
          <w:tcPr>
            <w:tcW w:w="851"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耐火</w:t>
            </w:r>
          </w:p>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等级</w:t>
            </w:r>
          </w:p>
        </w:tc>
        <w:tc>
          <w:tcPr>
            <w:tcW w:w="850"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层数</w:t>
            </w:r>
          </w:p>
        </w:tc>
        <w:tc>
          <w:tcPr>
            <w:tcW w:w="1062"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7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416"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1#车间</w:t>
            </w:r>
          </w:p>
        </w:tc>
        <w:tc>
          <w:tcPr>
            <w:tcW w:w="1142"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1039.91 </w:t>
            </w:r>
          </w:p>
        </w:tc>
        <w:tc>
          <w:tcPr>
            <w:tcW w:w="142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门式刚架</w:t>
            </w:r>
          </w:p>
        </w:tc>
        <w:tc>
          <w:tcPr>
            <w:tcW w:w="112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乙</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850"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1</w:t>
            </w:r>
          </w:p>
        </w:tc>
        <w:tc>
          <w:tcPr>
            <w:tcW w:w="1062"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7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416"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2#车间</w:t>
            </w:r>
          </w:p>
        </w:tc>
        <w:tc>
          <w:tcPr>
            <w:tcW w:w="1142"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1422.23 </w:t>
            </w:r>
          </w:p>
        </w:tc>
        <w:tc>
          <w:tcPr>
            <w:tcW w:w="142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门式刚架</w:t>
            </w:r>
          </w:p>
        </w:tc>
        <w:tc>
          <w:tcPr>
            <w:tcW w:w="112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甲</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850"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1</w:t>
            </w:r>
          </w:p>
        </w:tc>
        <w:tc>
          <w:tcPr>
            <w:tcW w:w="106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416"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1#仓库</w:t>
            </w:r>
          </w:p>
        </w:tc>
        <w:tc>
          <w:tcPr>
            <w:tcW w:w="1142"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1113.35 </w:t>
            </w:r>
          </w:p>
        </w:tc>
        <w:tc>
          <w:tcPr>
            <w:tcW w:w="142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门式刚架</w:t>
            </w:r>
          </w:p>
        </w:tc>
        <w:tc>
          <w:tcPr>
            <w:tcW w:w="112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丙</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850"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1</w:t>
            </w:r>
          </w:p>
        </w:tc>
        <w:tc>
          <w:tcPr>
            <w:tcW w:w="1062" w:type="dxa"/>
            <w:vAlign w:val="center"/>
          </w:tcPr>
          <w:p>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贮存巯基丙酸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7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416"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2#仓库</w:t>
            </w:r>
          </w:p>
        </w:tc>
        <w:tc>
          <w:tcPr>
            <w:tcW w:w="1142"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657.59 </w:t>
            </w:r>
          </w:p>
        </w:tc>
        <w:tc>
          <w:tcPr>
            <w:tcW w:w="142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门式刚架</w:t>
            </w:r>
          </w:p>
        </w:tc>
        <w:tc>
          <w:tcPr>
            <w:tcW w:w="112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甲</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850"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1</w:t>
            </w:r>
          </w:p>
        </w:tc>
        <w:tc>
          <w:tcPr>
            <w:tcW w:w="1062" w:type="dxa"/>
            <w:vAlign w:val="center"/>
          </w:tcPr>
          <w:p>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贮存</w:t>
            </w:r>
          </w:p>
          <w:p>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双氧水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7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416"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3#仓库</w:t>
            </w:r>
          </w:p>
        </w:tc>
        <w:tc>
          <w:tcPr>
            <w:tcW w:w="1142"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750.47 </w:t>
            </w:r>
          </w:p>
        </w:tc>
        <w:tc>
          <w:tcPr>
            <w:tcW w:w="142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门式刚架</w:t>
            </w:r>
          </w:p>
        </w:tc>
        <w:tc>
          <w:tcPr>
            <w:tcW w:w="112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丁</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850"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1</w:t>
            </w:r>
          </w:p>
        </w:tc>
        <w:tc>
          <w:tcPr>
            <w:tcW w:w="106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7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1416"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五金仓库</w:t>
            </w:r>
          </w:p>
        </w:tc>
        <w:tc>
          <w:tcPr>
            <w:tcW w:w="1142"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1358.15 </w:t>
            </w:r>
          </w:p>
        </w:tc>
        <w:tc>
          <w:tcPr>
            <w:tcW w:w="142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门式刚架</w:t>
            </w:r>
          </w:p>
        </w:tc>
        <w:tc>
          <w:tcPr>
            <w:tcW w:w="112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戊</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850"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1</w:t>
            </w:r>
          </w:p>
        </w:tc>
        <w:tc>
          <w:tcPr>
            <w:tcW w:w="1062" w:type="dxa"/>
            <w:vAlign w:val="center"/>
          </w:tcPr>
          <w:p>
            <w:pPr>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7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w:t>
            </w:r>
          </w:p>
        </w:tc>
        <w:tc>
          <w:tcPr>
            <w:tcW w:w="1416"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罐组一</w:t>
            </w:r>
          </w:p>
        </w:tc>
        <w:tc>
          <w:tcPr>
            <w:tcW w:w="1142"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660.43 </w:t>
            </w:r>
          </w:p>
        </w:tc>
        <w:tc>
          <w:tcPr>
            <w:tcW w:w="142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钢筋混凝土</w:t>
            </w:r>
          </w:p>
        </w:tc>
        <w:tc>
          <w:tcPr>
            <w:tcW w:w="112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丙</w:t>
            </w:r>
            <w:r>
              <w:rPr>
                <w:rFonts w:hint="default" w:ascii="Times New Roman" w:hAnsi="Times New Roman" w:eastAsia="仿宋" w:cs="Times New Roman"/>
                <w:color w:val="auto"/>
                <w:sz w:val="21"/>
                <w:szCs w:val="21"/>
                <w:vertAlign w:val="subscript"/>
              </w:rPr>
              <w:t>A</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850"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w:t>
            </w:r>
          </w:p>
        </w:tc>
        <w:tc>
          <w:tcPr>
            <w:tcW w:w="1062" w:type="dxa"/>
            <w:vAlign w:val="center"/>
          </w:tcPr>
          <w:p>
            <w:pPr>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7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1416"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罐组二</w:t>
            </w:r>
          </w:p>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（埋地）</w:t>
            </w:r>
          </w:p>
        </w:tc>
        <w:tc>
          <w:tcPr>
            <w:tcW w:w="1142"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364.98 </w:t>
            </w:r>
          </w:p>
        </w:tc>
        <w:tc>
          <w:tcPr>
            <w:tcW w:w="142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钢筋混凝土</w:t>
            </w:r>
          </w:p>
        </w:tc>
        <w:tc>
          <w:tcPr>
            <w:tcW w:w="112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甲</w:t>
            </w:r>
            <w:r>
              <w:rPr>
                <w:rFonts w:hint="default" w:ascii="Times New Roman" w:hAnsi="Times New Roman" w:eastAsia="仿宋" w:cs="Times New Roman"/>
                <w:color w:val="auto"/>
                <w:sz w:val="21"/>
                <w:szCs w:val="21"/>
                <w:vertAlign w:val="subscript"/>
              </w:rPr>
              <w:t>B</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850"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w:t>
            </w:r>
          </w:p>
        </w:tc>
        <w:tc>
          <w:tcPr>
            <w:tcW w:w="106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丙烯酸</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7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w:t>
            </w:r>
          </w:p>
        </w:tc>
        <w:tc>
          <w:tcPr>
            <w:tcW w:w="1416"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罐组三</w:t>
            </w:r>
          </w:p>
        </w:tc>
        <w:tc>
          <w:tcPr>
            <w:tcW w:w="1142"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1150.00 </w:t>
            </w:r>
          </w:p>
        </w:tc>
        <w:tc>
          <w:tcPr>
            <w:tcW w:w="142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钢筋混凝土</w:t>
            </w:r>
          </w:p>
        </w:tc>
        <w:tc>
          <w:tcPr>
            <w:tcW w:w="112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丁</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850"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w:t>
            </w:r>
          </w:p>
        </w:tc>
        <w:tc>
          <w:tcPr>
            <w:tcW w:w="106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7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c>
          <w:tcPr>
            <w:tcW w:w="1416"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污水处理站</w:t>
            </w:r>
          </w:p>
        </w:tc>
        <w:tc>
          <w:tcPr>
            <w:tcW w:w="1142" w:type="dxa"/>
            <w:vAlign w:val="center"/>
          </w:tcPr>
          <w:p>
            <w:pPr>
              <w:jc w:val="center"/>
              <w:rPr>
                <w:rFonts w:hint="default" w:ascii="Times New Roman" w:hAnsi="Times New Roman" w:eastAsia="仿宋" w:cs="Times New Roman"/>
                <w:color w:val="auto"/>
                <w:sz w:val="21"/>
                <w:szCs w:val="21"/>
              </w:rPr>
            </w:pPr>
          </w:p>
        </w:tc>
        <w:tc>
          <w:tcPr>
            <w:tcW w:w="142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钢筋混凝土</w:t>
            </w:r>
          </w:p>
        </w:tc>
        <w:tc>
          <w:tcPr>
            <w:tcW w:w="112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850"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w:t>
            </w:r>
          </w:p>
        </w:tc>
        <w:tc>
          <w:tcPr>
            <w:tcW w:w="106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7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w:t>
            </w:r>
          </w:p>
        </w:tc>
        <w:tc>
          <w:tcPr>
            <w:tcW w:w="1416"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研发中心</w:t>
            </w:r>
          </w:p>
        </w:tc>
        <w:tc>
          <w:tcPr>
            <w:tcW w:w="1142"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5706.04 </w:t>
            </w:r>
          </w:p>
        </w:tc>
        <w:tc>
          <w:tcPr>
            <w:tcW w:w="142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框架</w:t>
            </w:r>
          </w:p>
        </w:tc>
        <w:tc>
          <w:tcPr>
            <w:tcW w:w="112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w:t>
            </w:r>
          </w:p>
        </w:tc>
        <w:tc>
          <w:tcPr>
            <w:tcW w:w="106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7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w:t>
            </w:r>
          </w:p>
        </w:tc>
        <w:tc>
          <w:tcPr>
            <w:tcW w:w="1416"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空压、冷冻房</w:t>
            </w:r>
          </w:p>
        </w:tc>
        <w:tc>
          <w:tcPr>
            <w:tcW w:w="1142"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189.00 </w:t>
            </w:r>
          </w:p>
        </w:tc>
        <w:tc>
          <w:tcPr>
            <w:tcW w:w="142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门式刚架</w:t>
            </w:r>
          </w:p>
        </w:tc>
        <w:tc>
          <w:tcPr>
            <w:tcW w:w="112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丁</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06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7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w:t>
            </w:r>
          </w:p>
        </w:tc>
        <w:tc>
          <w:tcPr>
            <w:tcW w:w="1416" w:type="dxa"/>
            <w:vAlign w:val="center"/>
          </w:tcPr>
          <w:p>
            <w:pPr>
              <w:autoSpaceDE w:val="0"/>
              <w:autoSpaceDN w:val="0"/>
              <w:adjustRightIn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消防和</w:t>
            </w:r>
          </w:p>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循环水池</w:t>
            </w:r>
          </w:p>
        </w:tc>
        <w:tc>
          <w:tcPr>
            <w:tcW w:w="1142"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289.79 </w:t>
            </w:r>
          </w:p>
        </w:tc>
        <w:tc>
          <w:tcPr>
            <w:tcW w:w="142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钢筋混凝土</w:t>
            </w:r>
          </w:p>
        </w:tc>
        <w:tc>
          <w:tcPr>
            <w:tcW w:w="112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106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7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w:t>
            </w:r>
          </w:p>
        </w:tc>
        <w:tc>
          <w:tcPr>
            <w:tcW w:w="1416"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事故应急和初期雨水池</w:t>
            </w:r>
          </w:p>
        </w:tc>
        <w:tc>
          <w:tcPr>
            <w:tcW w:w="1142"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495.69 </w:t>
            </w:r>
          </w:p>
        </w:tc>
        <w:tc>
          <w:tcPr>
            <w:tcW w:w="142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钢筋混凝土</w:t>
            </w:r>
          </w:p>
        </w:tc>
        <w:tc>
          <w:tcPr>
            <w:tcW w:w="112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106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7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w:t>
            </w:r>
          </w:p>
        </w:tc>
        <w:tc>
          <w:tcPr>
            <w:tcW w:w="1416"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门卫</w:t>
            </w:r>
          </w:p>
        </w:tc>
        <w:tc>
          <w:tcPr>
            <w:tcW w:w="114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69.65</w:t>
            </w:r>
          </w:p>
        </w:tc>
        <w:tc>
          <w:tcPr>
            <w:tcW w:w="142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砖混</w:t>
            </w:r>
          </w:p>
        </w:tc>
        <w:tc>
          <w:tcPr>
            <w:tcW w:w="112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06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7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16</w:t>
            </w:r>
          </w:p>
        </w:tc>
        <w:tc>
          <w:tcPr>
            <w:tcW w:w="1416"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配电室</w:t>
            </w:r>
          </w:p>
        </w:tc>
        <w:tc>
          <w:tcPr>
            <w:tcW w:w="1142"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251.70 </w:t>
            </w:r>
          </w:p>
        </w:tc>
        <w:tc>
          <w:tcPr>
            <w:tcW w:w="142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框架</w:t>
            </w:r>
          </w:p>
        </w:tc>
        <w:tc>
          <w:tcPr>
            <w:tcW w:w="112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丙</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06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7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17</w:t>
            </w:r>
          </w:p>
        </w:tc>
        <w:tc>
          <w:tcPr>
            <w:tcW w:w="1416"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泵房</w:t>
            </w:r>
          </w:p>
        </w:tc>
        <w:tc>
          <w:tcPr>
            <w:tcW w:w="1142"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291.86 </w:t>
            </w:r>
          </w:p>
        </w:tc>
        <w:tc>
          <w:tcPr>
            <w:tcW w:w="142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砖混</w:t>
            </w:r>
          </w:p>
        </w:tc>
        <w:tc>
          <w:tcPr>
            <w:tcW w:w="112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丁</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06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bl>
    <w:p>
      <w:pPr>
        <w:widowControl w:val="0"/>
        <w:tabs>
          <w:tab w:val="left" w:pos="2473"/>
        </w:tabs>
        <w:wordWrap/>
        <w:adjustRightInd/>
        <w:snapToGrid/>
        <w:spacing w:beforeLines="50"/>
        <w:jc w:val="center"/>
        <w:textAlignment w:val="auto"/>
        <w:rPr>
          <w:rFonts w:hint="default" w:ascii="Times New Roman" w:hAnsi="Times New Roman" w:eastAsia="仿宋" w:cs="Times New Roman"/>
          <w:b/>
          <w:bCs/>
          <w:color w:val="auto"/>
          <w:sz w:val="24"/>
          <w:szCs w:val="24"/>
          <w:highlight w:val="none"/>
        </w:rPr>
      </w:pPr>
      <w:r>
        <w:rPr>
          <w:rFonts w:hint="default" w:ascii="Times New Roman" w:hAnsi="Times New Roman" w:eastAsia="仿宋" w:cs="Times New Roman"/>
          <w:b/>
          <w:bCs/>
          <w:color w:val="auto"/>
          <w:sz w:val="24"/>
          <w:szCs w:val="24"/>
          <w:highlight w:val="none"/>
        </w:rPr>
        <w:t>表3.4-2公用工程和环保工程一览表</w:t>
      </w:r>
    </w:p>
    <w:tbl>
      <w:tblPr>
        <w:tblStyle w:val="21"/>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76"/>
        <w:gridCol w:w="524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17"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1276"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名称</w:t>
            </w:r>
          </w:p>
        </w:tc>
        <w:tc>
          <w:tcPr>
            <w:tcW w:w="5245"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内容</w:t>
            </w:r>
          </w:p>
        </w:tc>
        <w:tc>
          <w:tcPr>
            <w:tcW w:w="1275"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276"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_GB2312" w:cs="Times New Roman"/>
                <w:color w:val="auto"/>
                <w:sz w:val="21"/>
                <w:szCs w:val="21"/>
              </w:rPr>
              <w:t>给水</w:t>
            </w:r>
          </w:p>
        </w:tc>
        <w:tc>
          <w:tcPr>
            <w:tcW w:w="524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园区自来水管网，30m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 xml:space="preserve"> /h</w:t>
            </w:r>
          </w:p>
        </w:tc>
        <w:tc>
          <w:tcPr>
            <w:tcW w:w="127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276" w:type="dxa"/>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排水</w:t>
            </w:r>
          </w:p>
        </w:tc>
        <w:tc>
          <w:tcPr>
            <w:tcW w:w="5245" w:type="dxa"/>
            <w:vAlign w:val="center"/>
          </w:tcPr>
          <w:p>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雨污分流制。地面冲洗水、实验废水、废气治理碱喷淋塔定期排放的废水及初期雨水一同经</w:t>
            </w:r>
            <w:r>
              <w:rPr>
                <w:rFonts w:hint="eastAsia" w:ascii="Times New Roman" w:hAnsi="Times New Roman" w:eastAsia="仿宋" w:cs="Times New Roman"/>
                <w:color w:val="auto"/>
                <w:sz w:val="21"/>
                <w:szCs w:val="21"/>
                <w:lang w:eastAsia="zh-CN"/>
              </w:rPr>
              <w:t>地埋式一体化设备“</w:t>
            </w:r>
            <w:r>
              <w:rPr>
                <w:rFonts w:hint="default" w:ascii="Times New Roman" w:hAnsi="Times New Roman" w:eastAsia="仿宋" w:cs="Times New Roman"/>
                <w:color w:val="auto"/>
                <w:sz w:val="21"/>
                <w:szCs w:val="21"/>
                <w:lang w:eastAsia="zh-CN"/>
              </w:rPr>
              <w:t>格栅</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eastAsia="zh-CN"/>
              </w:rPr>
              <w:t>调节</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A/O+二沉池</w:t>
            </w:r>
            <w:r>
              <w:rPr>
                <w:rFonts w:hint="eastAsia"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处理</w:t>
            </w:r>
            <w:r>
              <w:rPr>
                <w:rFonts w:hint="eastAsia" w:ascii="Times New Roman" w:hAnsi="Times New Roman" w:eastAsia="仿宋" w:cs="Times New Roman"/>
                <w:color w:val="auto"/>
                <w:sz w:val="21"/>
                <w:szCs w:val="21"/>
                <w:lang w:eastAsia="zh-CN"/>
              </w:rPr>
              <w:t>后排至清水池，</w:t>
            </w:r>
            <w:r>
              <w:rPr>
                <w:rFonts w:hint="default" w:ascii="Times New Roman" w:hAnsi="Times New Roman" w:eastAsia="仿宋" w:cs="Times New Roman"/>
                <w:color w:val="auto"/>
                <w:sz w:val="21"/>
                <w:szCs w:val="21"/>
              </w:rPr>
              <w:t>生活污水</w:t>
            </w:r>
            <w:r>
              <w:rPr>
                <w:rFonts w:hint="eastAsia" w:ascii="Times New Roman" w:hAnsi="Times New Roman" w:eastAsia="仿宋" w:cs="Times New Roman"/>
                <w:color w:val="auto"/>
                <w:sz w:val="21"/>
                <w:szCs w:val="21"/>
                <w:lang w:eastAsia="zh-CN"/>
              </w:rPr>
              <w:t>经</w:t>
            </w:r>
            <w:r>
              <w:rPr>
                <w:rFonts w:hint="default" w:ascii="Times New Roman" w:hAnsi="Times New Roman" w:eastAsia="仿宋" w:cs="Times New Roman"/>
                <w:color w:val="auto"/>
                <w:sz w:val="21"/>
                <w:szCs w:val="21"/>
              </w:rPr>
              <w:t>化粪池处理</w:t>
            </w:r>
            <w:r>
              <w:rPr>
                <w:rFonts w:hint="eastAsia" w:ascii="Times New Roman" w:hAnsi="Times New Roman" w:eastAsia="仿宋" w:cs="Times New Roman"/>
                <w:color w:val="auto"/>
                <w:sz w:val="21"/>
                <w:szCs w:val="21"/>
                <w:lang w:eastAsia="zh-CN"/>
              </w:rPr>
              <w:t>后排至清水池；</w:t>
            </w:r>
            <w:r>
              <w:rPr>
                <w:rFonts w:hint="default" w:ascii="Times New Roman" w:hAnsi="Times New Roman" w:eastAsia="仿宋" w:cs="Times New Roman"/>
                <w:color w:val="auto"/>
                <w:sz w:val="21"/>
                <w:szCs w:val="21"/>
              </w:rPr>
              <w:t>软水制备废水经管道排至</w:t>
            </w:r>
            <w:r>
              <w:rPr>
                <w:rFonts w:hint="eastAsia" w:ascii="Times New Roman" w:hAnsi="Times New Roman" w:eastAsia="仿宋" w:cs="Times New Roman"/>
                <w:color w:val="auto"/>
                <w:sz w:val="21"/>
                <w:szCs w:val="21"/>
                <w:lang w:eastAsia="zh-CN"/>
              </w:rPr>
              <w:t>清水池。清水池混合废水</w:t>
            </w:r>
            <w:r>
              <w:rPr>
                <w:rFonts w:hint="default" w:ascii="Times New Roman" w:hAnsi="Times New Roman" w:eastAsia="仿宋" w:cs="Times New Roman"/>
                <w:color w:val="auto"/>
                <w:sz w:val="21"/>
                <w:szCs w:val="21"/>
              </w:rPr>
              <w:t>接管至徐州工业园区污水处理厂进一步处理。后期雨水经厂区雨水管网收集后由雨水排放口排放。</w:t>
            </w:r>
          </w:p>
        </w:tc>
        <w:tc>
          <w:tcPr>
            <w:tcW w:w="127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7" w:type="dxa"/>
            <w:vAlign w:val="center"/>
          </w:tcPr>
          <w:p>
            <w:pPr>
              <w:spacing w:line="36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276" w:type="dxa"/>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供电</w:t>
            </w:r>
          </w:p>
        </w:tc>
        <w:tc>
          <w:tcPr>
            <w:tcW w:w="5245" w:type="dxa"/>
            <w:vAlign w:val="center"/>
          </w:tcPr>
          <w:p>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工业园附近的10kV变配电线引入，150万kWh/a</w:t>
            </w:r>
          </w:p>
        </w:tc>
        <w:tc>
          <w:tcPr>
            <w:tcW w:w="127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276" w:type="dxa"/>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供热</w:t>
            </w:r>
          </w:p>
        </w:tc>
        <w:tc>
          <w:tcPr>
            <w:tcW w:w="524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园区热力管网提供，6000 m</w:t>
            </w:r>
            <w:r>
              <w:rPr>
                <w:rFonts w:hint="default" w:ascii="Times New Roman" w:hAnsi="Times New Roman" w:eastAsia="仿宋" w:cs="Times New Roman"/>
                <w:color w:val="auto"/>
                <w:sz w:val="21"/>
                <w:szCs w:val="21"/>
                <w:vertAlign w:val="superscript"/>
              </w:rPr>
              <w:t xml:space="preserve">3 </w:t>
            </w:r>
            <w:r>
              <w:rPr>
                <w:rFonts w:hint="default" w:ascii="Times New Roman" w:hAnsi="Times New Roman" w:eastAsia="仿宋" w:cs="Times New Roman"/>
                <w:color w:val="auto"/>
                <w:sz w:val="21"/>
                <w:szCs w:val="21"/>
              </w:rPr>
              <w:t>/a</w:t>
            </w:r>
          </w:p>
        </w:tc>
        <w:tc>
          <w:tcPr>
            <w:tcW w:w="127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3" w:type="dxa"/>
            <w:gridSpan w:val="4"/>
            <w:vAlign w:val="center"/>
          </w:tcPr>
          <w:p>
            <w:pPr>
              <w:spacing w:line="360" w:lineRule="auto"/>
              <w:ind w:firstLine="420" w:firstLineChars="20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环保工程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restart"/>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w:t>
            </w:r>
          </w:p>
        </w:tc>
        <w:tc>
          <w:tcPr>
            <w:tcW w:w="1276" w:type="dxa"/>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有组织</w:t>
            </w:r>
          </w:p>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废气</w:t>
            </w:r>
          </w:p>
        </w:tc>
        <w:tc>
          <w:tcPr>
            <w:tcW w:w="5245" w:type="dxa"/>
            <w:vAlign w:val="center"/>
          </w:tcPr>
          <w:p>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各工序废气经管道收集后采用“一级纯水洗+一级碱洗+除雾干燥+活性炭吸附装置”处理，处理效率达90%，处理后由17m高排气筒排放。</w:t>
            </w:r>
          </w:p>
        </w:tc>
        <w:tc>
          <w:tcPr>
            <w:tcW w:w="127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continue"/>
            <w:vAlign w:val="center"/>
          </w:tcPr>
          <w:p>
            <w:pPr>
              <w:jc w:val="center"/>
              <w:rPr>
                <w:rFonts w:hint="default" w:ascii="Times New Roman" w:hAnsi="Times New Roman" w:eastAsia="仿宋" w:cs="Times New Roman"/>
                <w:color w:val="auto"/>
                <w:sz w:val="21"/>
                <w:szCs w:val="21"/>
              </w:rPr>
            </w:pPr>
          </w:p>
        </w:tc>
        <w:tc>
          <w:tcPr>
            <w:tcW w:w="1276" w:type="dxa"/>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无组织</w:t>
            </w:r>
          </w:p>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排放</w:t>
            </w:r>
          </w:p>
        </w:tc>
        <w:tc>
          <w:tcPr>
            <w:tcW w:w="5245" w:type="dxa"/>
            <w:vAlign w:val="center"/>
          </w:tcPr>
          <w:p>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加强生产设备及物料输送的密闭性，并在车间内安装轴流式通风机。罐区未经收集的废气无组织排放，并加强厂区绿化。</w:t>
            </w:r>
          </w:p>
        </w:tc>
        <w:tc>
          <w:tcPr>
            <w:tcW w:w="127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restart"/>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废水</w:t>
            </w:r>
          </w:p>
        </w:tc>
        <w:tc>
          <w:tcPr>
            <w:tcW w:w="1276"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生活</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污水</w:t>
            </w:r>
          </w:p>
        </w:tc>
        <w:tc>
          <w:tcPr>
            <w:tcW w:w="5245" w:type="dxa"/>
            <w:vMerge w:val="restart"/>
            <w:vAlign w:val="center"/>
          </w:tcPr>
          <w:p>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地面冲洗水、实验废水、废气治理碱喷淋塔定期排放的废水及初期雨水一同经</w:t>
            </w:r>
            <w:r>
              <w:rPr>
                <w:rFonts w:hint="eastAsia" w:ascii="Times New Roman" w:hAnsi="Times New Roman" w:eastAsia="仿宋" w:cs="Times New Roman"/>
                <w:color w:val="auto"/>
                <w:sz w:val="21"/>
                <w:szCs w:val="21"/>
                <w:lang w:eastAsia="zh-CN"/>
              </w:rPr>
              <w:t>地埋式一体化设备“</w:t>
            </w:r>
            <w:r>
              <w:rPr>
                <w:rFonts w:hint="default" w:ascii="Times New Roman" w:hAnsi="Times New Roman" w:eastAsia="仿宋" w:cs="Times New Roman"/>
                <w:color w:val="auto"/>
                <w:sz w:val="21"/>
                <w:szCs w:val="21"/>
                <w:lang w:eastAsia="zh-CN"/>
              </w:rPr>
              <w:t>格栅</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eastAsia="zh-CN"/>
              </w:rPr>
              <w:t>调节</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A/O+二沉池</w:t>
            </w:r>
            <w:r>
              <w:rPr>
                <w:rFonts w:hint="eastAsia"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处理</w:t>
            </w:r>
            <w:r>
              <w:rPr>
                <w:rFonts w:hint="eastAsia" w:ascii="Times New Roman" w:hAnsi="Times New Roman" w:eastAsia="仿宋" w:cs="Times New Roman"/>
                <w:color w:val="auto"/>
                <w:sz w:val="21"/>
                <w:szCs w:val="21"/>
                <w:lang w:eastAsia="zh-CN"/>
              </w:rPr>
              <w:t>后排至清水池，</w:t>
            </w:r>
            <w:r>
              <w:rPr>
                <w:rFonts w:hint="default" w:ascii="Times New Roman" w:hAnsi="Times New Roman" w:eastAsia="仿宋" w:cs="Times New Roman"/>
                <w:color w:val="auto"/>
                <w:sz w:val="21"/>
                <w:szCs w:val="21"/>
              </w:rPr>
              <w:t>生活污水</w:t>
            </w:r>
            <w:r>
              <w:rPr>
                <w:rFonts w:hint="eastAsia" w:ascii="Times New Roman" w:hAnsi="Times New Roman" w:eastAsia="仿宋" w:cs="Times New Roman"/>
                <w:color w:val="auto"/>
                <w:sz w:val="21"/>
                <w:szCs w:val="21"/>
                <w:lang w:eastAsia="zh-CN"/>
              </w:rPr>
              <w:t>经</w:t>
            </w:r>
            <w:r>
              <w:rPr>
                <w:rFonts w:hint="default" w:ascii="Times New Roman" w:hAnsi="Times New Roman" w:eastAsia="仿宋" w:cs="Times New Roman"/>
                <w:color w:val="auto"/>
                <w:sz w:val="21"/>
                <w:szCs w:val="21"/>
              </w:rPr>
              <w:t>化粪池处理</w:t>
            </w:r>
            <w:r>
              <w:rPr>
                <w:rFonts w:hint="eastAsia" w:ascii="Times New Roman" w:hAnsi="Times New Roman" w:eastAsia="仿宋" w:cs="Times New Roman"/>
                <w:color w:val="auto"/>
                <w:sz w:val="21"/>
                <w:szCs w:val="21"/>
                <w:lang w:eastAsia="zh-CN"/>
              </w:rPr>
              <w:t>后排至清水池；</w:t>
            </w:r>
            <w:r>
              <w:rPr>
                <w:rFonts w:hint="default" w:ascii="Times New Roman" w:hAnsi="Times New Roman" w:eastAsia="仿宋" w:cs="Times New Roman"/>
                <w:color w:val="auto"/>
                <w:sz w:val="21"/>
                <w:szCs w:val="21"/>
              </w:rPr>
              <w:t>软水制备废水经管道排至</w:t>
            </w:r>
            <w:r>
              <w:rPr>
                <w:rFonts w:hint="eastAsia" w:ascii="Times New Roman" w:hAnsi="Times New Roman" w:eastAsia="仿宋" w:cs="Times New Roman"/>
                <w:color w:val="auto"/>
                <w:sz w:val="21"/>
                <w:szCs w:val="21"/>
                <w:lang w:eastAsia="zh-CN"/>
              </w:rPr>
              <w:t>清水池。清水池混合废水</w:t>
            </w:r>
            <w:r>
              <w:rPr>
                <w:rFonts w:hint="default" w:ascii="Times New Roman" w:hAnsi="Times New Roman" w:eastAsia="仿宋" w:cs="Times New Roman"/>
                <w:color w:val="auto"/>
                <w:sz w:val="21"/>
                <w:szCs w:val="21"/>
              </w:rPr>
              <w:t>接管至徐州工业园区污水处理厂进一步处理。后期雨水经厂区雨水管网收集后由雨水排放口排放。</w:t>
            </w:r>
          </w:p>
        </w:tc>
        <w:tc>
          <w:tcPr>
            <w:tcW w:w="127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continue"/>
            <w:vAlign w:val="center"/>
          </w:tcPr>
          <w:p>
            <w:pPr>
              <w:jc w:val="center"/>
              <w:rPr>
                <w:rFonts w:hint="default" w:ascii="Times New Roman" w:hAnsi="Times New Roman" w:eastAsia="仿宋" w:cs="Times New Roman"/>
                <w:color w:val="auto"/>
                <w:sz w:val="21"/>
                <w:szCs w:val="21"/>
              </w:rPr>
            </w:pPr>
          </w:p>
        </w:tc>
        <w:tc>
          <w:tcPr>
            <w:tcW w:w="1276"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生产</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废水</w:t>
            </w:r>
          </w:p>
        </w:tc>
        <w:tc>
          <w:tcPr>
            <w:tcW w:w="5245" w:type="dxa"/>
            <w:vMerge w:val="continue"/>
            <w:vAlign w:val="center"/>
          </w:tcPr>
          <w:p>
            <w:pPr>
              <w:rPr>
                <w:rFonts w:hint="default" w:ascii="Times New Roman" w:hAnsi="Times New Roman" w:eastAsia="仿宋" w:cs="Times New Roman"/>
                <w:color w:val="auto"/>
                <w:sz w:val="21"/>
                <w:szCs w:val="21"/>
              </w:rPr>
            </w:pPr>
          </w:p>
        </w:tc>
        <w:tc>
          <w:tcPr>
            <w:tcW w:w="127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spacing w:line="36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噪声</w:t>
            </w:r>
          </w:p>
        </w:tc>
        <w:tc>
          <w:tcPr>
            <w:tcW w:w="1276" w:type="dxa"/>
            <w:vAlign w:val="center"/>
          </w:tcPr>
          <w:p>
            <w:pPr>
              <w:spacing w:line="360" w:lineRule="auto"/>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噪声治理</w:t>
            </w:r>
          </w:p>
        </w:tc>
        <w:tc>
          <w:tcPr>
            <w:tcW w:w="5245" w:type="dxa"/>
            <w:vAlign w:val="center"/>
          </w:tcPr>
          <w:p>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采用车间隔音、吸声、减振基座等措施后，厂界达标。</w:t>
            </w:r>
          </w:p>
        </w:tc>
        <w:tc>
          <w:tcPr>
            <w:tcW w:w="127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restart"/>
            <w:vAlign w:val="center"/>
          </w:tcPr>
          <w:p>
            <w:pPr>
              <w:spacing w:line="36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固废</w:t>
            </w:r>
          </w:p>
        </w:tc>
        <w:tc>
          <w:tcPr>
            <w:tcW w:w="1276" w:type="dxa"/>
            <w:vAlign w:val="center"/>
          </w:tcPr>
          <w:p>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一般工业</w:t>
            </w:r>
          </w:p>
          <w:p>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固废</w:t>
            </w:r>
          </w:p>
        </w:tc>
        <w:tc>
          <w:tcPr>
            <w:tcW w:w="5245" w:type="dxa"/>
            <w:vAlign w:val="center"/>
          </w:tcPr>
          <w:p>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固废临时存放场所，设置在厂区西车间东侧；一般固废堆场地面铺水泥硬化防渗。</w:t>
            </w:r>
          </w:p>
        </w:tc>
        <w:tc>
          <w:tcPr>
            <w:tcW w:w="127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Merge w:val="continue"/>
            <w:vAlign w:val="center"/>
          </w:tcPr>
          <w:p>
            <w:pPr>
              <w:spacing w:line="360" w:lineRule="auto"/>
              <w:ind w:firstLine="420" w:firstLineChars="200"/>
              <w:jc w:val="center"/>
              <w:rPr>
                <w:rFonts w:hint="default" w:ascii="Times New Roman" w:hAnsi="Times New Roman" w:eastAsia="仿宋" w:cs="Times New Roman"/>
                <w:color w:val="auto"/>
                <w:sz w:val="21"/>
                <w:szCs w:val="21"/>
              </w:rPr>
            </w:pPr>
          </w:p>
        </w:tc>
        <w:tc>
          <w:tcPr>
            <w:tcW w:w="1276" w:type="dxa"/>
            <w:vAlign w:val="center"/>
          </w:tcPr>
          <w:p>
            <w:pPr>
              <w:spacing w:line="360" w:lineRule="auto"/>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危险固废</w:t>
            </w:r>
          </w:p>
        </w:tc>
        <w:tc>
          <w:tcPr>
            <w:tcW w:w="5245" w:type="dxa"/>
            <w:vAlign w:val="center"/>
          </w:tcPr>
          <w:p>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危废临时存放场所，设置在厂区</w:t>
            </w:r>
            <w:r>
              <w:rPr>
                <w:rFonts w:hint="eastAsia" w:ascii="Times New Roman" w:hAnsi="Times New Roman" w:eastAsia="仿宋" w:cs="Times New Roman"/>
                <w:color w:val="auto"/>
                <w:sz w:val="21"/>
                <w:szCs w:val="21"/>
                <w:lang w:eastAsia="zh-CN"/>
              </w:rPr>
              <w:t>西北侧</w:t>
            </w:r>
            <w:r>
              <w:rPr>
                <w:rFonts w:hint="default" w:ascii="Times New Roman" w:hAnsi="Times New Roman" w:eastAsia="仿宋" w:cs="Times New Roman"/>
                <w:color w:val="auto"/>
                <w:sz w:val="21"/>
                <w:szCs w:val="21"/>
              </w:rPr>
              <w:t>，分类储存；危废临时存放场所有防渗漏、防风、防雨淋等措施。危险废物贮存车间地面及墙裙采用防渗防腐涂料。同时生产区各车间及厂房周围全部硬化成防渗地面，防止地面污水下渗污染。</w:t>
            </w:r>
          </w:p>
        </w:tc>
        <w:tc>
          <w:tcPr>
            <w:tcW w:w="127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风险</w:t>
            </w:r>
          </w:p>
        </w:tc>
        <w:tc>
          <w:tcPr>
            <w:tcW w:w="1276" w:type="dxa"/>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事故池</w:t>
            </w:r>
          </w:p>
        </w:tc>
        <w:tc>
          <w:tcPr>
            <w:tcW w:w="5245" w:type="dxa"/>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容积1200m</w:t>
            </w:r>
            <w:r>
              <w:rPr>
                <w:rFonts w:hint="default" w:ascii="Times New Roman" w:hAnsi="Times New Roman" w:eastAsia="仿宋" w:cs="Times New Roman"/>
                <w:color w:val="auto"/>
                <w:vertAlign w:val="superscript"/>
              </w:rPr>
              <w:t>3</w:t>
            </w:r>
          </w:p>
        </w:tc>
        <w:tc>
          <w:tcPr>
            <w:tcW w:w="1275" w:type="dxa"/>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sz w:val="21"/>
                <w:szCs w:val="21"/>
              </w:rPr>
              <w:t>/</w:t>
            </w:r>
          </w:p>
        </w:tc>
      </w:tr>
    </w:tbl>
    <w:p>
      <w:pPr>
        <w:spacing w:beforeLines="50"/>
        <w:jc w:val="center"/>
        <w:rPr>
          <w:rFonts w:hint="eastAsia" w:eastAsia="仿宋"/>
          <w:b/>
          <w:bCs/>
          <w:color w:val="auto"/>
          <w:sz w:val="24"/>
          <w:szCs w:val="24"/>
        </w:rPr>
      </w:pPr>
      <w:bookmarkStart w:id="42" w:name="_Toc502108414"/>
      <w:bookmarkStart w:id="43" w:name="_Toc516436373"/>
      <w:r>
        <w:rPr>
          <w:rFonts w:hint="default" w:ascii="Times New Roman" w:hAnsi="Times New Roman" w:eastAsia="仿宋" w:cs="Times New Roman"/>
          <w:b/>
          <w:bCs/>
          <w:color w:val="auto"/>
          <w:sz w:val="24"/>
          <w:szCs w:val="24"/>
          <w:highlight w:val="none"/>
        </w:rPr>
        <w:t>表3.4-</w:t>
      </w:r>
      <w:r>
        <w:rPr>
          <w:rFonts w:hint="eastAsia" w:ascii="Times New Roman" w:hAnsi="Times New Roman" w:eastAsia="仿宋" w:cs="Times New Roman"/>
          <w:b/>
          <w:bCs/>
          <w:color w:val="auto"/>
          <w:sz w:val="24"/>
          <w:szCs w:val="24"/>
          <w:highlight w:val="none"/>
          <w:lang w:val="en-US" w:eastAsia="zh-CN"/>
        </w:rPr>
        <w:t>3</w:t>
      </w:r>
      <w:r>
        <w:rPr>
          <w:rFonts w:hint="eastAsia" w:eastAsia="仿宋"/>
          <w:b/>
          <w:bCs/>
          <w:color w:val="auto"/>
          <w:sz w:val="24"/>
          <w:szCs w:val="24"/>
        </w:rPr>
        <w:t>主要生产设备一览表</w:t>
      </w:r>
    </w:p>
    <w:tbl>
      <w:tblPr>
        <w:tblStyle w:val="21"/>
        <w:tblW w:w="8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76"/>
        <w:gridCol w:w="3019"/>
        <w:gridCol w:w="2522"/>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1276"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车间名称</w:t>
            </w:r>
          </w:p>
        </w:tc>
        <w:tc>
          <w:tcPr>
            <w:tcW w:w="3019"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设备名称及编号</w:t>
            </w:r>
          </w:p>
        </w:tc>
        <w:tc>
          <w:tcPr>
            <w:tcW w:w="2522"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规格型号</w:t>
            </w:r>
          </w:p>
        </w:tc>
        <w:tc>
          <w:tcPr>
            <w:tcW w:w="982" w:type="dxa"/>
            <w:vAlign w:val="center"/>
          </w:tcPr>
          <w:p>
            <w:pPr>
              <w:widowControl w:val="0"/>
              <w:wordWrap/>
              <w:adjustRightInd/>
              <w:snapToGrid/>
              <w:ind w:leftChars="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276" w:type="dxa"/>
            <w:vMerge w:val="restart"/>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1#车间</w:t>
            </w: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板式换热器E1201A/B/C</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S=80㎡</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2#反应釜循环泵P1201 ~ P1203</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Q=100m³/h，H=20m</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电机功率：11kW</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1#反应釜出料泵P1204</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Q=50m³/h，H=50m</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电机功率：15kW</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1#反应釜出料泵P1205</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Q=80m³/h，H=38m</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电机功率：15kW</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产品输送泵P1206</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Q=50m³/h，H=20m</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电机功率：7.5kW</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原水输送泵P1301A/B</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Q=50m³/h，H=20m</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电机功率：7.5kW</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纯水泵P1302A/B</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Q=40m³/h，H=20m</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电机功率：5.5kW</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2#反应釜R1201~R1203</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K10000L</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1#反应釜R1204~R1206</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20000L，Φ2600×4595</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疏基丙酸高位罐V1201</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¢1000×1300，1m³</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1#A料配料罐V1202</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K5000L</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2#A料配料罐V1203</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K2000L</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1#B料配料罐V1204</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K5000L</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2#B料配料罐V1205</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K2000L</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2#A料高位罐1206A~V1208A</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Φ1400×1800，2 m³</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16</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2#B料高位罐V1206B~V1208B</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Φ1400×1800，2 m³</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17</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液碱高位罐V1209</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Φ1400×1800，3 m³</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18</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双氧水高位罐V1210</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Φ1400×1800，2 m³</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19</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1#A料高位罐1211A~V1213A</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Φ1600×2000，3 m³</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1#B料高位罐V1211B~V1213B</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Φ1600×2000，3m³</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21</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1#反应釜R1214A/B/C</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20000L，Φ2600×4595</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原水罐V1301</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Φ3000×4500，30m³</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23</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纯水罐V1302A/B</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Φ3000×4500，30m³</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24</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纯水设备X1301A</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FE-10S</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25</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起重机</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电动单梁（悬挂）2T</w:t>
            </w:r>
          </w:p>
        </w:tc>
        <w:tc>
          <w:tcPr>
            <w:tcW w:w="982" w:type="dxa"/>
            <w:vAlign w:val="center"/>
          </w:tcPr>
          <w:p>
            <w:pPr>
              <w:pStyle w:val="11"/>
              <w:widowControl w:val="0"/>
              <w:wordWrap/>
              <w:adjustRightInd/>
              <w:snapToGrid/>
              <w:ind w:left="0" w:leftChars="0"/>
              <w:jc w:val="center"/>
              <w:textAlignment w:val="auto"/>
              <w:rPr>
                <w:rFonts w:hint="default" w:ascii="Times New Roman" w:hAnsi="Times New Roman" w:eastAsia="仿宋" w:cs="Times New Roman"/>
                <w:i w:val="0"/>
                <w:iCs w:val="0"/>
                <w:color w:val="auto"/>
                <w:sz w:val="21"/>
                <w:szCs w:val="21"/>
              </w:rPr>
            </w:pPr>
            <w:r>
              <w:rPr>
                <w:rFonts w:hint="default" w:ascii="Times New Roman" w:hAnsi="Times New Roman" w:eastAsia="仿宋" w:cs="Times New Roman"/>
                <w:i w:val="0"/>
                <w:iCs w:val="0"/>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276" w:type="dxa"/>
            <w:vMerge w:val="restart"/>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罐区</w:t>
            </w:r>
          </w:p>
        </w:tc>
        <w:tc>
          <w:tcPr>
            <w:tcW w:w="3019"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丙烯酸泵P1101A/B</w:t>
            </w:r>
          </w:p>
        </w:tc>
        <w:tc>
          <w:tcPr>
            <w:tcW w:w="252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Q=25m³/h，H=32m</w:t>
            </w:r>
          </w:p>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电机功率：7.5kW</w:t>
            </w:r>
          </w:p>
        </w:tc>
        <w:tc>
          <w:tcPr>
            <w:tcW w:w="98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聚醚泵P1102A/B/C/D</w:t>
            </w:r>
          </w:p>
        </w:tc>
        <w:tc>
          <w:tcPr>
            <w:tcW w:w="252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Q=100m³/h，H=20m</w:t>
            </w:r>
          </w:p>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电机功率：11kW</w:t>
            </w:r>
          </w:p>
        </w:tc>
        <w:tc>
          <w:tcPr>
            <w:tcW w:w="98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液碱泵P1103A/B</w:t>
            </w:r>
          </w:p>
        </w:tc>
        <w:tc>
          <w:tcPr>
            <w:tcW w:w="252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Q=48m³/h，H=32m</w:t>
            </w:r>
          </w:p>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电机功率：4.0kW</w:t>
            </w:r>
          </w:p>
        </w:tc>
        <w:tc>
          <w:tcPr>
            <w:tcW w:w="98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液碱泵P1104A/B</w:t>
            </w:r>
          </w:p>
        </w:tc>
        <w:tc>
          <w:tcPr>
            <w:tcW w:w="252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Q=48m³/h，H=32m</w:t>
            </w:r>
          </w:p>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电机功率：4.0kW</w:t>
            </w:r>
          </w:p>
        </w:tc>
        <w:tc>
          <w:tcPr>
            <w:tcW w:w="98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1#/2#母液出料泵P1105A/B</w:t>
            </w:r>
          </w:p>
        </w:tc>
        <w:tc>
          <w:tcPr>
            <w:tcW w:w="252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Q=50m³/h，H=32m</w:t>
            </w:r>
          </w:p>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电机功率：7.5kW</w:t>
            </w:r>
          </w:p>
        </w:tc>
        <w:tc>
          <w:tcPr>
            <w:tcW w:w="98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1#母液装车泵P1106A/B</w:t>
            </w:r>
          </w:p>
        </w:tc>
        <w:tc>
          <w:tcPr>
            <w:tcW w:w="252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Q=50m³/h，H=20m</w:t>
            </w:r>
          </w:p>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电机功率：7.5kW</w:t>
            </w:r>
          </w:p>
        </w:tc>
        <w:tc>
          <w:tcPr>
            <w:tcW w:w="98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2#母液装车泵P1107A/B</w:t>
            </w:r>
          </w:p>
        </w:tc>
        <w:tc>
          <w:tcPr>
            <w:tcW w:w="252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Q=50m³/h，H=20m</w:t>
            </w:r>
          </w:p>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电机功率：7.5kW</w:t>
            </w:r>
          </w:p>
        </w:tc>
        <w:tc>
          <w:tcPr>
            <w:tcW w:w="98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成品泵P1108A/B</w:t>
            </w:r>
          </w:p>
        </w:tc>
        <w:tc>
          <w:tcPr>
            <w:tcW w:w="252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Q=40m³/h，H=20m</w:t>
            </w:r>
          </w:p>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电机功率：7.5kW</w:t>
            </w:r>
          </w:p>
        </w:tc>
        <w:tc>
          <w:tcPr>
            <w:tcW w:w="98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丙烯酸储罐V1101A/B</w:t>
            </w:r>
          </w:p>
        </w:tc>
        <w:tc>
          <w:tcPr>
            <w:tcW w:w="252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50m³（卧式）</w:t>
            </w:r>
          </w:p>
        </w:tc>
        <w:tc>
          <w:tcPr>
            <w:tcW w:w="98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聚醚储罐V1102A/B/C/D</w:t>
            </w:r>
          </w:p>
        </w:tc>
        <w:tc>
          <w:tcPr>
            <w:tcW w:w="252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100m³</w:t>
            </w:r>
          </w:p>
        </w:tc>
        <w:tc>
          <w:tcPr>
            <w:tcW w:w="98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液碱储罐V1103</w:t>
            </w:r>
          </w:p>
        </w:tc>
        <w:tc>
          <w:tcPr>
            <w:tcW w:w="252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50m³</w:t>
            </w:r>
          </w:p>
        </w:tc>
        <w:tc>
          <w:tcPr>
            <w:tcW w:w="98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液碱储罐V1104</w:t>
            </w:r>
          </w:p>
        </w:tc>
        <w:tc>
          <w:tcPr>
            <w:tcW w:w="252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50m³</w:t>
            </w:r>
          </w:p>
        </w:tc>
        <w:tc>
          <w:tcPr>
            <w:tcW w:w="98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1#母液储罐V1105A</w:t>
            </w:r>
          </w:p>
        </w:tc>
        <w:tc>
          <w:tcPr>
            <w:tcW w:w="252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50m³</w:t>
            </w:r>
          </w:p>
        </w:tc>
        <w:tc>
          <w:tcPr>
            <w:tcW w:w="98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2#母液储罐V1105B</w:t>
            </w:r>
          </w:p>
        </w:tc>
        <w:tc>
          <w:tcPr>
            <w:tcW w:w="252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50m³</w:t>
            </w:r>
          </w:p>
        </w:tc>
        <w:tc>
          <w:tcPr>
            <w:tcW w:w="98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1#母液储罐V1106A/B/C/D</w:t>
            </w:r>
          </w:p>
        </w:tc>
        <w:tc>
          <w:tcPr>
            <w:tcW w:w="252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200m³</w:t>
            </w:r>
          </w:p>
        </w:tc>
        <w:tc>
          <w:tcPr>
            <w:tcW w:w="98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16</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2#母液储罐V1107A/B/C/D</w:t>
            </w:r>
          </w:p>
        </w:tc>
        <w:tc>
          <w:tcPr>
            <w:tcW w:w="252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100m³</w:t>
            </w:r>
          </w:p>
        </w:tc>
        <w:tc>
          <w:tcPr>
            <w:tcW w:w="98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17</w:t>
            </w: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成品储罐V1108A-F</w:t>
            </w:r>
          </w:p>
        </w:tc>
        <w:tc>
          <w:tcPr>
            <w:tcW w:w="252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50m³</w:t>
            </w:r>
          </w:p>
        </w:tc>
        <w:tc>
          <w:tcPr>
            <w:tcW w:w="982" w:type="dxa"/>
            <w:vAlign w:val="center"/>
          </w:tcPr>
          <w:p>
            <w:pPr>
              <w:pStyle w:val="12"/>
              <w:kinsoku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Merge w:val="restart"/>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18</w:t>
            </w:r>
          </w:p>
        </w:tc>
        <w:tc>
          <w:tcPr>
            <w:tcW w:w="1276" w:type="dxa"/>
            <w:vMerge w:val="restart"/>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空压系统</w:t>
            </w: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空压机</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YLF37-8</w:t>
            </w:r>
          </w:p>
        </w:tc>
        <w:tc>
          <w:tcPr>
            <w:tcW w:w="98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Merge w:val="continue"/>
            <w:vAlign w:val="center"/>
          </w:tcPr>
          <w:p>
            <w:pPr>
              <w:jc w:val="center"/>
              <w:rPr>
                <w:rFonts w:hint="default" w:ascii="Times New Roman" w:hAnsi="Times New Roman" w:eastAsia="仿宋" w:cs="Times New Roman"/>
                <w:color w:val="auto"/>
                <w:sz w:val="21"/>
                <w:szCs w:val="21"/>
              </w:rPr>
            </w:pP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储气罐</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5立</w:t>
            </w:r>
          </w:p>
        </w:tc>
        <w:tc>
          <w:tcPr>
            <w:tcW w:w="98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Merge w:val="continue"/>
            <w:vAlign w:val="center"/>
          </w:tcPr>
          <w:p>
            <w:pPr>
              <w:jc w:val="center"/>
              <w:rPr>
                <w:rFonts w:hint="default" w:ascii="Times New Roman" w:hAnsi="Times New Roman" w:eastAsia="仿宋" w:cs="Times New Roman"/>
                <w:color w:val="auto"/>
                <w:sz w:val="21"/>
                <w:szCs w:val="21"/>
              </w:rPr>
            </w:pP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空压机</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BSG-800</w:t>
            </w:r>
          </w:p>
        </w:tc>
        <w:tc>
          <w:tcPr>
            <w:tcW w:w="98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Merge w:val="continue"/>
            <w:vAlign w:val="center"/>
          </w:tcPr>
          <w:p>
            <w:pPr>
              <w:jc w:val="center"/>
              <w:rPr>
                <w:rFonts w:hint="default" w:ascii="Times New Roman" w:hAnsi="Times New Roman" w:eastAsia="仿宋" w:cs="Times New Roman"/>
                <w:color w:val="auto"/>
                <w:sz w:val="21"/>
                <w:szCs w:val="21"/>
              </w:rPr>
            </w:pPr>
          </w:p>
        </w:tc>
        <w:tc>
          <w:tcPr>
            <w:tcW w:w="1276" w:type="dxa"/>
            <w:vMerge w:val="continue"/>
            <w:vAlign w:val="center"/>
          </w:tcPr>
          <w:p>
            <w:pPr>
              <w:jc w:val="center"/>
              <w:rPr>
                <w:rFonts w:hint="default" w:ascii="Times New Roman" w:hAnsi="Times New Roman" w:eastAsia="仿宋" w:cs="Times New Roman"/>
                <w:color w:val="auto"/>
                <w:sz w:val="21"/>
                <w:szCs w:val="21"/>
              </w:rPr>
            </w:pP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储气罐</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C-3.0</w:t>
            </w:r>
          </w:p>
        </w:tc>
        <w:tc>
          <w:tcPr>
            <w:tcW w:w="98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19</w:t>
            </w:r>
          </w:p>
        </w:tc>
        <w:tc>
          <w:tcPr>
            <w:tcW w:w="1276"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冷水系统</w:t>
            </w:r>
          </w:p>
        </w:tc>
        <w:tc>
          <w:tcPr>
            <w:tcW w:w="301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冷冻机</w:t>
            </w:r>
          </w:p>
        </w:tc>
        <w:tc>
          <w:tcPr>
            <w:tcW w:w="25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额定制冷量130KW</w:t>
            </w:r>
          </w:p>
        </w:tc>
        <w:tc>
          <w:tcPr>
            <w:tcW w:w="98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r>
    </w:tbl>
    <w:p>
      <w:pPr>
        <w:pStyle w:val="5"/>
        <w:keepNext/>
        <w:keepLines/>
        <w:adjustRightInd w:val="0"/>
        <w:snapToGrid w:val="0"/>
        <w:spacing w:beforeLines="50" w:afterLines="50"/>
        <w:ind w:left="0"/>
        <w:jc w:val="both"/>
        <w:rPr>
          <w:rFonts w:ascii="Times New Roman"/>
          <w:b/>
          <w:bCs/>
          <w:color w:val="auto"/>
          <w:sz w:val="30"/>
          <w:szCs w:val="30"/>
        </w:rPr>
      </w:pPr>
      <w:bookmarkStart w:id="44" w:name="_Toc9536"/>
      <w:r>
        <w:rPr>
          <w:rFonts w:ascii="Times New Roman"/>
          <w:b/>
          <w:bCs/>
          <w:color w:val="auto"/>
          <w:sz w:val="30"/>
          <w:szCs w:val="30"/>
        </w:rPr>
        <w:t>3.5</w:t>
      </w:r>
      <w:bookmarkEnd w:id="42"/>
      <w:r>
        <w:rPr>
          <w:rFonts w:ascii="Times New Roman"/>
          <w:b/>
          <w:bCs/>
          <w:color w:val="auto"/>
          <w:sz w:val="30"/>
          <w:szCs w:val="30"/>
        </w:rPr>
        <w:t>安全生产管理</w:t>
      </w:r>
      <w:bookmarkEnd w:id="43"/>
      <w:bookmarkEnd w:id="44"/>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对照《企业突发环境事件风险评估指南（试行）》附录A.2.2中表4内容，企业安全生产管理水平评估结果见表3.5-1。</w:t>
      </w:r>
    </w:p>
    <w:p>
      <w:pPr>
        <w:widowControl w:val="0"/>
        <w:tabs>
          <w:tab w:val="left" w:pos="2473"/>
        </w:tabs>
        <w:wordWrap/>
        <w:adjustRightInd/>
        <w:snapToGrid/>
        <w:spacing w:beforeLines="50"/>
        <w:jc w:val="center"/>
        <w:textAlignment w:val="auto"/>
        <w:rPr>
          <w:rFonts w:hint="default" w:ascii="Times New Roman" w:hAnsi="Times New Roman" w:eastAsia="仿宋" w:cs="Times New Roman"/>
          <w:b/>
          <w:bCs/>
          <w:color w:val="auto"/>
          <w:sz w:val="24"/>
          <w:szCs w:val="24"/>
          <w:highlight w:val="none"/>
        </w:rPr>
      </w:pPr>
      <w:r>
        <w:rPr>
          <w:rFonts w:hint="default" w:ascii="Times New Roman" w:hAnsi="Times New Roman" w:eastAsia="仿宋" w:cs="Times New Roman"/>
          <w:b/>
          <w:bCs/>
          <w:color w:val="auto"/>
          <w:sz w:val="24"/>
          <w:szCs w:val="24"/>
          <w:highlight w:val="none"/>
        </w:rPr>
        <w:t>表3.5-1企业安全生产管理水平评估结果</w:t>
      </w:r>
    </w:p>
    <w:tbl>
      <w:tblPr>
        <w:tblStyle w:val="21"/>
        <w:tblW w:w="8231"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3179"/>
        <w:gridCol w:w="713"/>
        <w:gridCol w:w="2263"/>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241"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b/>
                <w:bCs/>
                <w:color w:val="auto"/>
                <w:sz w:val="21"/>
                <w:szCs w:val="21"/>
              </w:rPr>
            </w:pPr>
            <w:r>
              <w:rPr>
                <w:rFonts w:ascii="Times New Roman" w:eastAsia="仿宋"/>
                <w:b/>
                <w:bCs/>
                <w:color w:val="auto"/>
                <w:sz w:val="21"/>
                <w:szCs w:val="21"/>
              </w:rPr>
              <w:t>评估指标</w:t>
            </w:r>
          </w:p>
        </w:tc>
        <w:tc>
          <w:tcPr>
            <w:tcW w:w="3179"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b/>
                <w:bCs/>
                <w:color w:val="auto"/>
                <w:sz w:val="21"/>
                <w:szCs w:val="21"/>
              </w:rPr>
            </w:pPr>
            <w:r>
              <w:rPr>
                <w:rFonts w:ascii="Times New Roman" w:eastAsia="仿宋"/>
                <w:b/>
                <w:bCs/>
                <w:color w:val="auto"/>
                <w:sz w:val="21"/>
                <w:szCs w:val="21"/>
              </w:rPr>
              <w:t>评 估 依 据</w:t>
            </w:r>
          </w:p>
        </w:tc>
        <w:tc>
          <w:tcPr>
            <w:tcW w:w="71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b/>
                <w:bCs/>
                <w:color w:val="auto"/>
                <w:sz w:val="21"/>
                <w:szCs w:val="21"/>
              </w:rPr>
            </w:pPr>
            <w:r>
              <w:rPr>
                <w:rFonts w:ascii="Times New Roman" w:eastAsia="仿宋"/>
                <w:b/>
                <w:bCs/>
                <w:color w:val="auto"/>
                <w:sz w:val="21"/>
                <w:szCs w:val="21"/>
              </w:rPr>
              <w:t>分值</w:t>
            </w:r>
          </w:p>
        </w:tc>
        <w:tc>
          <w:tcPr>
            <w:tcW w:w="226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b/>
                <w:bCs/>
                <w:color w:val="auto"/>
                <w:sz w:val="21"/>
                <w:szCs w:val="21"/>
              </w:rPr>
            </w:pPr>
            <w:r>
              <w:rPr>
                <w:rFonts w:ascii="Times New Roman" w:eastAsia="仿宋"/>
                <w:b/>
                <w:bCs/>
                <w:color w:val="auto"/>
                <w:sz w:val="21"/>
                <w:szCs w:val="21"/>
              </w:rPr>
              <w:t>企业情况</w:t>
            </w:r>
          </w:p>
        </w:tc>
        <w:tc>
          <w:tcPr>
            <w:tcW w:w="835"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b/>
                <w:bCs/>
                <w:color w:val="auto"/>
                <w:sz w:val="21"/>
                <w:szCs w:val="21"/>
              </w:rPr>
            </w:pPr>
            <w:r>
              <w:rPr>
                <w:rFonts w:ascii="Times New Roman" w:eastAsia="仿宋"/>
                <w:b/>
                <w:bCs/>
                <w:color w:val="auto"/>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41" w:type="dxa"/>
            <w:vMerge w:val="restart"/>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消防验收</w:t>
            </w:r>
          </w:p>
        </w:tc>
        <w:tc>
          <w:tcPr>
            <w:tcW w:w="3179"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highlight w:val="none"/>
              </w:rPr>
              <w:t>消防验收意见为合格</w:t>
            </w:r>
            <w:r>
              <w:rPr>
                <w:rFonts w:ascii="Times New Roman" w:eastAsia="仿宋"/>
                <w:color w:val="auto"/>
                <w:sz w:val="21"/>
                <w:szCs w:val="21"/>
              </w:rPr>
              <w:t>，且最近一次消防检查合格</w:t>
            </w:r>
          </w:p>
        </w:tc>
        <w:tc>
          <w:tcPr>
            <w:tcW w:w="71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0</w:t>
            </w:r>
          </w:p>
        </w:tc>
        <w:tc>
          <w:tcPr>
            <w:tcW w:w="226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合格</w:t>
            </w:r>
          </w:p>
        </w:tc>
        <w:tc>
          <w:tcPr>
            <w:tcW w:w="835"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241" w:type="dxa"/>
            <w:vMerge w:val="continue"/>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p>
        </w:tc>
        <w:tc>
          <w:tcPr>
            <w:tcW w:w="3179"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消防验收意见不合格，或最近一次消防检查不合格</w:t>
            </w:r>
          </w:p>
        </w:tc>
        <w:tc>
          <w:tcPr>
            <w:tcW w:w="71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2</w:t>
            </w:r>
          </w:p>
        </w:tc>
        <w:tc>
          <w:tcPr>
            <w:tcW w:w="226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w:t>
            </w:r>
          </w:p>
        </w:tc>
        <w:tc>
          <w:tcPr>
            <w:tcW w:w="835"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1241" w:type="dxa"/>
            <w:vMerge w:val="restart"/>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highlight w:val="none"/>
              </w:rPr>
            </w:pPr>
            <w:r>
              <w:rPr>
                <w:rFonts w:ascii="Times New Roman" w:eastAsia="仿宋"/>
                <w:color w:val="auto"/>
                <w:sz w:val="21"/>
                <w:szCs w:val="21"/>
                <w:highlight w:val="none"/>
              </w:rPr>
              <w:t>安全生产许可</w:t>
            </w:r>
          </w:p>
        </w:tc>
        <w:tc>
          <w:tcPr>
            <w:tcW w:w="3179" w:type="dxa"/>
            <w:vAlign w:val="center"/>
          </w:tcPr>
          <w:p>
            <w:pPr>
              <w:pStyle w:val="8"/>
              <w:widowControl w:val="0"/>
              <w:wordWrap/>
              <w:adjustRightInd w:val="0"/>
              <w:snapToGrid w:val="0"/>
              <w:spacing w:line="240" w:lineRule="auto"/>
              <w:ind w:firstLine="0" w:firstLineChars="0"/>
              <w:textAlignment w:val="auto"/>
              <w:rPr>
                <w:rFonts w:hint="eastAsia" w:ascii="Times New Roman" w:eastAsia="仿宋"/>
                <w:color w:val="auto"/>
                <w:sz w:val="21"/>
                <w:szCs w:val="21"/>
                <w:highlight w:val="none"/>
                <w:lang w:val="en-US" w:eastAsia="zh-CN"/>
              </w:rPr>
            </w:pPr>
            <w:r>
              <w:rPr>
                <w:rFonts w:ascii="Times New Roman" w:eastAsia="仿宋"/>
                <w:color w:val="auto"/>
                <w:sz w:val="21"/>
                <w:szCs w:val="21"/>
                <w:highlight w:val="none"/>
              </w:rPr>
              <w:t>非危险化学品生产企业，或危险化学品生产企业取得安全生产许可</w:t>
            </w:r>
          </w:p>
        </w:tc>
        <w:tc>
          <w:tcPr>
            <w:tcW w:w="71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highlight w:val="none"/>
              </w:rPr>
            </w:pPr>
            <w:r>
              <w:rPr>
                <w:rFonts w:ascii="Times New Roman" w:eastAsia="仿宋"/>
                <w:color w:val="auto"/>
                <w:sz w:val="21"/>
                <w:szCs w:val="21"/>
                <w:highlight w:val="none"/>
              </w:rPr>
              <w:t>0</w:t>
            </w:r>
          </w:p>
        </w:tc>
        <w:tc>
          <w:tcPr>
            <w:tcW w:w="226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highlight w:val="none"/>
              </w:rPr>
            </w:pPr>
            <w:r>
              <w:rPr>
                <w:rFonts w:ascii="Times New Roman" w:eastAsia="仿宋"/>
                <w:color w:val="auto"/>
                <w:sz w:val="21"/>
                <w:szCs w:val="21"/>
                <w:highlight w:val="none"/>
              </w:rPr>
              <w:t>属不用取得安全生产许可的企业</w:t>
            </w:r>
          </w:p>
        </w:tc>
        <w:tc>
          <w:tcPr>
            <w:tcW w:w="835"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241" w:type="dxa"/>
            <w:vMerge w:val="continue"/>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p>
        </w:tc>
        <w:tc>
          <w:tcPr>
            <w:tcW w:w="3179"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危险化学品生产企业未取得安全生产许可</w:t>
            </w:r>
          </w:p>
        </w:tc>
        <w:tc>
          <w:tcPr>
            <w:tcW w:w="71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2</w:t>
            </w:r>
          </w:p>
        </w:tc>
        <w:tc>
          <w:tcPr>
            <w:tcW w:w="226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w:t>
            </w:r>
          </w:p>
        </w:tc>
        <w:tc>
          <w:tcPr>
            <w:tcW w:w="835"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1241" w:type="dxa"/>
            <w:vMerge w:val="restart"/>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危险化学品安全评价</w:t>
            </w:r>
          </w:p>
        </w:tc>
        <w:tc>
          <w:tcPr>
            <w:tcW w:w="3179" w:type="dxa"/>
            <w:vAlign w:val="center"/>
          </w:tcPr>
          <w:p>
            <w:pPr>
              <w:pStyle w:val="8"/>
              <w:widowControl w:val="0"/>
              <w:wordWrap/>
              <w:adjustRightInd w:val="0"/>
              <w:snapToGrid w:val="0"/>
              <w:spacing w:line="240" w:lineRule="auto"/>
              <w:ind w:firstLine="0" w:firstLineChars="0"/>
              <w:textAlignment w:val="auto"/>
              <w:rPr>
                <w:rFonts w:ascii="Times New Roman" w:eastAsia="仿宋"/>
                <w:color w:val="auto"/>
                <w:sz w:val="21"/>
                <w:szCs w:val="21"/>
              </w:rPr>
            </w:pPr>
            <w:r>
              <w:rPr>
                <w:rFonts w:ascii="Times New Roman" w:eastAsia="仿宋"/>
                <w:color w:val="auto"/>
                <w:sz w:val="21"/>
                <w:szCs w:val="21"/>
              </w:rPr>
              <w:t>开展危险化学品安全评价；通过安全设施竣工验收，或无要求</w:t>
            </w:r>
          </w:p>
        </w:tc>
        <w:tc>
          <w:tcPr>
            <w:tcW w:w="71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0</w:t>
            </w:r>
          </w:p>
        </w:tc>
        <w:tc>
          <w:tcPr>
            <w:tcW w:w="226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hint="eastAsia" w:ascii="Times New Roman" w:eastAsia="仿宋"/>
                <w:color w:val="auto"/>
                <w:sz w:val="21"/>
                <w:szCs w:val="21"/>
                <w:lang w:eastAsia="zh-CN"/>
              </w:rPr>
              <w:t>通</w:t>
            </w:r>
            <w:r>
              <w:rPr>
                <w:rFonts w:ascii="Times New Roman" w:eastAsia="仿宋"/>
                <w:color w:val="auto"/>
                <w:sz w:val="21"/>
                <w:szCs w:val="21"/>
              </w:rPr>
              <w:t>过安全</w:t>
            </w:r>
            <w:r>
              <w:rPr>
                <w:rFonts w:hint="eastAsia" w:ascii="Times New Roman" w:eastAsia="仿宋"/>
                <w:color w:val="auto"/>
                <w:sz w:val="21"/>
                <w:szCs w:val="21"/>
                <w:lang w:eastAsia="zh-CN"/>
              </w:rPr>
              <w:t>预评价</w:t>
            </w:r>
            <w:r>
              <w:rPr>
                <w:rFonts w:ascii="Times New Roman" w:eastAsia="仿宋"/>
                <w:color w:val="auto"/>
                <w:sz w:val="21"/>
                <w:szCs w:val="21"/>
              </w:rPr>
              <w:t>验收</w:t>
            </w:r>
          </w:p>
        </w:tc>
        <w:tc>
          <w:tcPr>
            <w:tcW w:w="835"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241" w:type="dxa"/>
            <w:vMerge w:val="continue"/>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p>
        </w:tc>
        <w:tc>
          <w:tcPr>
            <w:tcW w:w="3179" w:type="dxa"/>
            <w:vAlign w:val="center"/>
          </w:tcPr>
          <w:p>
            <w:pPr>
              <w:pStyle w:val="8"/>
              <w:widowControl w:val="0"/>
              <w:wordWrap/>
              <w:adjustRightInd w:val="0"/>
              <w:snapToGrid w:val="0"/>
              <w:spacing w:line="240" w:lineRule="auto"/>
              <w:ind w:firstLine="0" w:firstLineChars="0"/>
              <w:textAlignment w:val="auto"/>
              <w:rPr>
                <w:rFonts w:ascii="Times New Roman" w:eastAsia="仿宋"/>
                <w:color w:val="auto"/>
                <w:sz w:val="21"/>
                <w:szCs w:val="21"/>
              </w:rPr>
            </w:pPr>
            <w:r>
              <w:rPr>
                <w:rFonts w:ascii="Times New Roman" w:eastAsia="仿宋"/>
                <w:color w:val="auto"/>
                <w:sz w:val="21"/>
                <w:szCs w:val="21"/>
              </w:rPr>
              <w:t>未开展危险化学品安全评价，或未通过安全设施竣工验收</w:t>
            </w:r>
          </w:p>
        </w:tc>
        <w:tc>
          <w:tcPr>
            <w:tcW w:w="71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2</w:t>
            </w:r>
          </w:p>
        </w:tc>
        <w:tc>
          <w:tcPr>
            <w:tcW w:w="226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w:t>
            </w:r>
          </w:p>
        </w:tc>
        <w:tc>
          <w:tcPr>
            <w:tcW w:w="835"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1241" w:type="dxa"/>
            <w:vMerge w:val="restart"/>
            <w:vAlign w:val="center"/>
          </w:tcPr>
          <w:p>
            <w:pPr>
              <w:pStyle w:val="8"/>
              <w:widowControl w:val="0"/>
              <w:wordWrap/>
              <w:adjustRightInd w:val="0"/>
              <w:snapToGrid w:val="0"/>
              <w:spacing w:line="240" w:lineRule="auto"/>
              <w:ind w:firstLine="0" w:firstLineChars="0"/>
              <w:textAlignment w:val="auto"/>
              <w:rPr>
                <w:rFonts w:ascii="Times New Roman" w:eastAsia="仿宋"/>
                <w:color w:val="auto"/>
                <w:sz w:val="21"/>
                <w:szCs w:val="21"/>
                <w:highlight w:val="none"/>
              </w:rPr>
            </w:pPr>
            <w:r>
              <w:rPr>
                <w:rFonts w:ascii="Times New Roman" w:eastAsia="仿宋"/>
                <w:color w:val="auto"/>
                <w:sz w:val="21"/>
                <w:szCs w:val="21"/>
                <w:highlight w:val="none"/>
              </w:rPr>
              <w:t>危险化学品重大危险源备案</w:t>
            </w:r>
          </w:p>
        </w:tc>
        <w:tc>
          <w:tcPr>
            <w:tcW w:w="3179" w:type="dxa"/>
            <w:vAlign w:val="center"/>
          </w:tcPr>
          <w:p>
            <w:pPr>
              <w:pStyle w:val="8"/>
              <w:widowControl w:val="0"/>
              <w:wordWrap/>
              <w:adjustRightInd w:val="0"/>
              <w:snapToGrid w:val="0"/>
              <w:spacing w:line="240" w:lineRule="auto"/>
              <w:ind w:firstLine="0" w:firstLineChars="0"/>
              <w:textAlignment w:val="auto"/>
              <w:rPr>
                <w:rFonts w:ascii="Times New Roman" w:eastAsia="仿宋"/>
                <w:color w:val="auto"/>
                <w:sz w:val="21"/>
                <w:szCs w:val="21"/>
                <w:highlight w:val="none"/>
              </w:rPr>
            </w:pPr>
            <w:r>
              <w:rPr>
                <w:rFonts w:ascii="Times New Roman" w:eastAsia="仿宋"/>
                <w:color w:val="auto"/>
                <w:sz w:val="21"/>
                <w:szCs w:val="21"/>
                <w:highlight w:val="none"/>
              </w:rPr>
              <w:t>无重大危险源，或所有危险化学品重大危险源均已备案</w:t>
            </w:r>
          </w:p>
        </w:tc>
        <w:tc>
          <w:tcPr>
            <w:tcW w:w="71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highlight w:val="none"/>
              </w:rPr>
            </w:pPr>
            <w:r>
              <w:rPr>
                <w:rFonts w:ascii="Times New Roman" w:eastAsia="仿宋"/>
                <w:color w:val="auto"/>
                <w:sz w:val="21"/>
                <w:szCs w:val="21"/>
                <w:highlight w:val="none"/>
              </w:rPr>
              <w:t>0</w:t>
            </w:r>
          </w:p>
        </w:tc>
        <w:tc>
          <w:tcPr>
            <w:tcW w:w="226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highlight w:val="none"/>
              </w:rPr>
            </w:pPr>
            <w:r>
              <w:rPr>
                <w:rFonts w:ascii="Times New Roman" w:eastAsia="仿宋"/>
                <w:color w:val="auto"/>
                <w:sz w:val="21"/>
                <w:szCs w:val="21"/>
                <w:highlight w:val="none"/>
              </w:rPr>
              <w:t>无重大危险源</w:t>
            </w:r>
          </w:p>
        </w:tc>
        <w:tc>
          <w:tcPr>
            <w:tcW w:w="835"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241" w:type="dxa"/>
            <w:vMerge w:val="continue"/>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p>
        </w:tc>
        <w:tc>
          <w:tcPr>
            <w:tcW w:w="3179" w:type="dxa"/>
            <w:vAlign w:val="center"/>
          </w:tcPr>
          <w:p>
            <w:pPr>
              <w:pStyle w:val="8"/>
              <w:widowControl w:val="0"/>
              <w:wordWrap/>
              <w:adjustRightInd w:val="0"/>
              <w:snapToGrid w:val="0"/>
              <w:spacing w:line="240" w:lineRule="auto"/>
              <w:ind w:firstLine="0" w:firstLineChars="0"/>
              <w:textAlignment w:val="auto"/>
              <w:rPr>
                <w:rFonts w:ascii="Times New Roman" w:eastAsia="仿宋"/>
                <w:color w:val="auto"/>
                <w:sz w:val="21"/>
                <w:szCs w:val="21"/>
              </w:rPr>
            </w:pPr>
            <w:r>
              <w:rPr>
                <w:rFonts w:ascii="Times New Roman" w:eastAsia="仿宋"/>
                <w:color w:val="auto"/>
                <w:sz w:val="21"/>
                <w:szCs w:val="21"/>
              </w:rPr>
              <w:t>有危险化学品重大危险源未备案</w:t>
            </w:r>
          </w:p>
        </w:tc>
        <w:tc>
          <w:tcPr>
            <w:tcW w:w="71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0</w:t>
            </w:r>
          </w:p>
        </w:tc>
        <w:tc>
          <w:tcPr>
            <w:tcW w:w="2263"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w:t>
            </w:r>
          </w:p>
        </w:tc>
        <w:tc>
          <w:tcPr>
            <w:tcW w:w="835" w:type="dxa"/>
            <w:vAlign w:val="center"/>
          </w:tcPr>
          <w:p>
            <w:pPr>
              <w:pStyle w:val="8"/>
              <w:widowControl w:val="0"/>
              <w:wordWrap/>
              <w:adjustRightInd w:val="0"/>
              <w:snapToGrid w:val="0"/>
              <w:spacing w:line="240" w:lineRule="auto"/>
              <w:ind w:firstLine="0" w:firstLineChars="0"/>
              <w:jc w:val="center"/>
              <w:textAlignment w:val="auto"/>
              <w:rPr>
                <w:rFonts w:ascii="Times New Roman" w:eastAsia="仿宋"/>
                <w:color w:val="auto"/>
                <w:sz w:val="21"/>
                <w:szCs w:val="21"/>
              </w:rPr>
            </w:pPr>
            <w:r>
              <w:rPr>
                <w:rFonts w:ascii="Times New Roman" w:eastAsia="仿宋"/>
                <w:color w:val="auto"/>
                <w:sz w:val="21"/>
                <w:szCs w:val="21"/>
              </w:rPr>
              <w:t>/</w:t>
            </w:r>
          </w:p>
        </w:tc>
      </w:tr>
    </w:tbl>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由表3.5-1评估结果可知，企业安全生产管理到位，风险评估总分值为零分。</w:t>
      </w:r>
    </w:p>
    <w:p>
      <w:pPr>
        <w:pStyle w:val="5"/>
        <w:keepNext/>
        <w:keepLines/>
        <w:adjustRightInd w:val="0"/>
        <w:snapToGrid w:val="0"/>
        <w:spacing w:beforeLines="50" w:afterLines="50"/>
        <w:ind w:left="0"/>
        <w:jc w:val="both"/>
        <w:rPr>
          <w:rFonts w:ascii="Times New Roman"/>
          <w:b/>
          <w:bCs/>
          <w:color w:val="auto"/>
          <w:sz w:val="30"/>
          <w:szCs w:val="30"/>
        </w:rPr>
      </w:pPr>
      <w:bookmarkStart w:id="45" w:name="_Toc19904"/>
      <w:r>
        <w:rPr>
          <w:rFonts w:ascii="Times New Roman"/>
          <w:b/>
          <w:bCs/>
          <w:color w:val="auto"/>
          <w:sz w:val="30"/>
          <w:szCs w:val="30"/>
          <w:lang w:val="en-US" w:eastAsia="zh-CN"/>
        </w:rPr>
        <w:t>3.</w:t>
      </w:r>
      <w:r>
        <w:rPr>
          <w:rFonts w:hint="eastAsia" w:ascii="Times New Roman"/>
          <w:b/>
          <w:bCs/>
          <w:color w:val="auto"/>
          <w:sz w:val="30"/>
          <w:szCs w:val="30"/>
          <w:lang w:val="en-US" w:eastAsia="zh-CN"/>
        </w:rPr>
        <w:t>6</w:t>
      </w:r>
      <w:r>
        <w:rPr>
          <w:rFonts w:ascii="Times New Roman"/>
          <w:b/>
          <w:bCs/>
          <w:color w:val="auto"/>
          <w:sz w:val="30"/>
          <w:szCs w:val="30"/>
          <w:lang w:val="en-US" w:eastAsia="zh-CN"/>
        </w:rPr>
        <w:t xml:space="preserve"> 现有环境风险物质基本情况</w:t>
      </w:r>
      <w:bookmarkEnd w:id="45"/>
      <w:r>
        <w:rPr>
          <w:rFonts w:ascii="Times New Roman"/>
          <w:b/>
          <w:bCs/>
          <w:color w:val="auto"/>
          <w:sz w:val="30"/>
          <w:szCs w:val="30"/>
          <w:lang w:val="en-US" w:eastAsia="zh-CN"/>
        </w:rPr>
        <w:t xml:space="preserve"> </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 xml:space="preserve">经与及《企业突发环境事件风险分级方法》（HJ941-2018）附录 A《突发环境事件风险物质及临界量清单》及《危险化学品重大危险源辨识》（GB18218-2018），企业不构成危险化学品重大危险源。 </w:t>
      </w:r>
    </w:p>
    <w:p>
      <w:pPr>
        <w:widowControl/>
        <w:wordWrap/>
        <w:spacing w:beforeAutospacing="0" w:line="360" w:lineRule="auto"/>
        <w:jc w:val="left"/>
        <w:textAlignment w:val="auto"/>
        <w:outlineLvl w:val="2"/>
        <w:rPr>
          <w:rFonts w:hint="eastAsia" w:ascii="Times New Roman" w:hAnsi="仿宋" w:eastAsia="仿宋" w:cs="Times New Roman"/>
          <w:b/>
          <w:bCs/>
          <w:color w:val="auto"/>
          <w:kern w:val="0"/>
          <w:sz w:val="28"/>
          <w:szCs w:val="28"/>
          <w:lang w:val="en-US" w:eastAsia="zh-CN"/>
        </w:rPr>
      </w:pPr>
      <w:bookmarkStart w:id="46" w:name="_Toc5237"/>
      <w:r>
        <w:rPr>
          <w:rFonts w:hint="eastAsia" w:ascii="Times New Roman" w:hAnsi="仿宋" w:eastAsia="仿宋" w:cs="Times New Roman"/>
          <w:b/>
          <w:bCs/>
          <w:color w:val="auto"/>
          <w:kern w:val="0"/>
          <w:sz w:val="28"/>
          <w:szCs w:val="28"/>
          <w:lang w:val="en-US" w:eastAsia="zh-CN"/>
        </w:rPr>
        <w:t>3.6.1 大气环境风险物质识别</w:t>
      </w:r>
      <w:bookmarkEnd w:id="46"/>
      <w:r>
        <w:rPr>
          <w:rFonts w:hint="eastAsia" w:ascii="Times New Roman" w:hAnsi="仿宋" w:eastAsia="仿宋" w:cs="Times New Roman"/>
          <w:b/>
          <w:bCs/>
          <w:color w:val="auto"/>
          <w:kern w:val="0"/>
          <w:sz w:val="28"/>
          <w:szCs w:val="28"/>
          <w:lang w:val="en-US" w:eastAsia="zh-CN"/>
        </w:rPr>
        <w:t xml:space="preserve"> </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由表3.3-1、对照《企业突发环境事件风险分级方法》（HJ941-2018） 附录 A《突发环境事件风险物质及临界量清单》及《危险化学品重大危险源辨识》(GB18218-2018)，公司涉气环境风险物质为丙烯酸、双氧水、巯基丙酸。</w:t>
      </w:r>
    </w:p>
    <w:p>
      <w:pPr>
        <w:widowControl/>
        <w:wordWrap/>
        <w:spacing w:beforeAutospacing="0" w:line="360" w:lineRule="auto"/>
        <w:jc w:val="left"/>
        <w:textAlignment w:val="auto"/>
        <w:outlineLvl w:val="2"/>
        <w:rPr>
          <w:rFonts w:hint="eastAsia" w:ascii="Times New Roman" w:hAnsi="仿宋" w:eastAsia="仿宋" w:cs="Times New Roman"/>
          <w:b/>
          <w:bCs/>
          <w:color w:val="auto"/>
          <w:kern w:val="0"/>
          <w:sz w:val="28"/>
          <w:szCs w:val="28"/>
          <w:lang w:val="en-US" w:eastAsia="zh-CN"/>
        </w:rPr>
      </w:pPr>
      <w:bookmarkStart w:id="47" w:name="_Toc19753"/>
      <w:r>
        <w:rPr>
          <w:rFonts w:hint="eastAsia" w:ascii="Times New Roman" w:hAnsi="仿宋" w:eastAsia="仿宋" w:cs="Times New Roman"/>
          <w:b/>
          <w:bCs/>
          <w:color w:val="auto"/>
          <w:kern w:val="0"/>
          <w:sz w:val="28"/>
          <w:szCs w:val="28"/>
          <w:lang w:val="en-US" w:eastAsia="zh-CN"/>
        </w:rPr>
        <w:t>3.6.2 水环境风险物质识别</w:t>
      </w:r>
      <w:bookmarkEnd w:id="47"/>
      <w:r>
        <w:rPr>
          <w:rFonts w:hint="eastAsia" w:ascii="Times New Roman" w:hAnsi="仿宋" w:eastAsia="仿宋" w:cs="Times New Roman"/>
          <w:b/>
          <w:bCs/>
          <w:color w:val="auto"/>
          <w:kern w:val="0"/>
          <w:sz w:val="28"/>
          <w:szCs w:val="28"/>
          <w:lang w:val="en-US" w:eastAsia="zh-CN"/>
        </w:rPr>
        <w:t xml:space="preserve"> </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由表3.3-1、对照《企业突发环境事件风险分级方法》（HJ941-2018） 附录 A《突发环境事件风险物质及临界量清单》及《危险化学品重大危险源辨识》(GB18218-2018)，公司涉水环境风险物质丙烯酸、聚醚、双氧水、巯基丙酸、液碱、外加剂成品。</w:t>
      </w:r>
    </w:p>
    <w:p>
      <w:pPr>
        <w:pStyle w:val="5"/>
        <w:keepNext/>
        <w:keepLines/>
        <w:adjustRightInd w:val="0"/>
        <w:snapToGrid w:val="0"/>
        <w:spacing w:beforeLines="50" w:afterLines="50"/>
        <w:ind w:left="0"/>
        <w:jc w:val="both"/>
        <w:rPr>
          <w:rFonts w:ascii="Times New Roman"/>
          <w:b/>
          <w:bCs/>
          <w:color w:val="auto"/>
          <w:sz w:val="30"/>
          <w:szCs w:val="30"/>
        </w:rPr>
      </w:pPr>
      <w:bookmarkStart w:id="48" w:name="_Toc516436374"/>
      <w:bookmarkStart w:id="49" w:name="_Toc21575"/>
      <w:r>
        <w:rPr>
          <w:rFonts w:ascii="Times New Roman"/>
          <w:b/>
          <w:bCs/>
          <w:color w:val="auto"/>
          <w:sz w:val="30"/>
          <w:szCs w:val="30"/>
        </w:rPr>
        <w:t>3.</w:t>
      </w:r>
      <w:r>
        <w:rPr>
          <w:rFonts w:hint="eastAsia" w:ascii="Times New Roman"/>
          <w:b/>
          <w:bCs/>
          <w:color w:val="auto"/>
          <w:sz w:val="30"/>
          <w:szCs w:val="30"/>
          <w:lang w:val="en-US" w:eastAsia="zh-CN"/>
        </w:rPr>
        <w:t>7</w:t>
      </w:r>
      <w:r>
        <w:rPr>
          <w:rFonts w:ascii="Times New Roman"/>
          <w:b/>
          <w:bCs/>
          <w:color w:val="auto"/>
          <w:sz w:val="30"/>
          <w:szCs w:val="30"/>
        </w:rPr>
        <w:t>现有环境风险防控及应急措施</w:t>
      </w:r>
      <w:bookmarkEnd w:id="48"/>
      <w:bookmarkEnd w:id="49"/>
    </w:p>
    <w:p>
      <w:pPr>
        <w:widowControl/>
        <w:wordWrap/>
        <w:spacing w:beforeAutospacing="0" w:line="360" w:lineRule="auto"/>
        <w:jc w:val="left"/>
        <w:textAlignment w:val="auto"/>
        <w:outlineLvl w:val="2"/>
        <w:rPr>
          <w:rFonts w:hint="eastAsia" w:ascii="Times New Roman" w:hAnsi="仿宋" w:eastAsia="仿宋" w:cs="Times New Roman"/>
          <w:b/>
          <w:bCs/>
          <w:color w:val="auto"/>
          <w:kern w:val="0"/>
          <w:sz w:val="28"/>
          <w:szCs w:val="28"/>
          <w:lang w:val="en-US" w:eastAsia="zh-CN"/>
        </w:rPr>
      </w:pPr>
      <w:bookmarkStart w:id="50" w:name="_Toc25647"/>
      <w:bookmarkStart w:id="51" w:name="_Toc1682"/>
      <w:bookmarkStart w:id="52" w:name="_Toc24933"/>
      <w:r>
        <w:rPr>
          <w:rFonts w:hint="eastAsia" w:ascii="Times New Roman" w:hAnsi="仿宋" w:eastAsia="仿宋" w:cs="Times New Roman"/>
          <w:b/>
          <w:bCs/>
          <w:color w:val="auto"/>
          <w:kern w:val="0"/>
          <w:sz w:val="28"/>
          <w:szCs w:val="28"/>
          <w:lang w:val="en-US" w:eastAsia="en-US"/>
        </w:rPr>
        <w:t>3.</w:t>
      </w:r>
      <w:r>
        <w:rPr>
          <w:rFonts w:hint="eastAsia" w:ascii="Times New Roman" w:hAnsi="仿宋" w:eastAsia="仿宋" w:cs="Times New Roman"/>
          <w:b/>
          <w:bCs/>
          <w:color w:val="auto"/>
          <w:kern w:val="0"/>
          <w:sz w:val="28"/>
          <w:szCs w:val="28"/>
          <w:lang w:val="en-US" w:eastAsia="zh-CN"/>
        </w:rPr>
        <w:t>7</w:t>
      </w:r>
      <w:r>
        <w:rPr>
          <w:rFonts w:hint="eastAsia" w:ascii="Times New Roman" w:hAnsi="仿宋" w:eastAsia="仿宋" w:cs="Times New Roman"/>
          <w:b/>
          <w:bCs/>
          <w:color w:val="auto"/>
          <w:kern w:val="0"/>
          <w:sz w:val="28"/>
          <w:szCs w:val="28"/>
          <w:lang w:val="en-US" w:eastAsia="en-US"/>
        </w:rPr>
        <w:t>.1</w:t>
      </w:r>
      <w:r>
        <w:rPr>
          <w:rFonts w:hint="eastAsia" w:ascii="Times New Roman" w:hAnsi="仿宋" w:eastAsia="仿宋" w:cs="Times New Roman"/>
          <w:b/>
          <w:bCs/>
          <w:color w:val="auto"/>
          <w:kern w:val="0"/>
          <w:sz w:val="28"/>
          <w:szCs w:val="28"/>
          <w:lang w:val="en-US" w:eastAsia="zh-CN"/>
        </w:rPr>
        <w:t>环境风险单元的划分</w:t>
      </w:r>
      <w:bookmarkEnd w:id="50"/>
      <w:bookmarkEnd w:id="51"/>
      <w:bookmarkEnd w:id="52"/>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综合考虑厂区内各建构筑物的配置，按照环境风险单元划分要求，公司目前存在的环境风险主要为化学品的泄露引起的环境污染事件及泄露引起的火灾爆炸事故、废气处理装置故障超标排放、消防废水外溢、污水超标排放、危险废物等。</w:t>
      </w:r>
    </w:p>
    <w:p>
      <w:pPr>
        <w:widowControl/>
        <w:wordWrap/>
        <w:spacing w:beforeAutospacing="0" w:line="360" w:lineRule="auto"/>
        <w:jc w:val="left"/>
        <w:textAlignment w:val="auto"/>
        <w:outlineLvl w:val="2"/>
        <w:rPr>
          <w:rFonts w:hint="eastAsia" w:ascii="Times New Roman" w:hAnsi="仿宋" w:eastAsia="仿宋" w:cs="Times New Roman"/>
          <w:b/>
          <w:bCs/>
          <w:color w:val="auto"/>
          <w:kern w:val="0"/>
          <w:sz w:val="28"/>
          <w:szCs w:val="28"/>
          <w:lang w:val="en-US" w:eastAsia="zh-CN"/>
        </w:rPr>
      </w:pPr>
      <w:bookmarkStart w:id="53" w:name="_Toc22070"/>
      <w:bookmarkStart w:id="54" w:name="_Toc23004"/>
      <w:bookmarkStart w:id="55" w:name="_Toc16227"/>
      <w:r>
        <w:rPr>
          <w:rFonts w:hint="eastAsia" w:ascii="Times New Roman" w:hAnsi="仿宋" w:eastAsia="仿宋" w:cs="Times New Roman"/>
          <w:b/>
          <w:bCs/>
          <w:color w:val="auto"/>
          <w:kern w:val="0"/>
          <w:sz w:val="28"/>
          <w:szCs w:val="28"/>
          <w:lang w:val="en-US" w:eastAsia="en-US"/>
        </w:rPr>
        <w:t>3.</w:t>
      </w:r>
      <w:r>
        <w:rPr>
          <w:rFonts w:hint="eastAsia" w:ascii="Times New Roman" w:hAnsi="仿宋" w:eastAsia="仿宋" w:cs="Times New Roman"/>
          <w:b/>
          <w:bCs/>
          <w:color w:val="auto"/>
          <w:kern w:val="0"/>
          <w:sz w:val="28"/>
          <w:szCs w:val="28"/>
          <w:lang w:val="en-US" w:eastAsia="zh-CN"/>
        </w:rPr>
        <w:t>7</w:t>
      </w:r>
      <w:r>
        <w:rPr>
          <w:rFonts w:hint="eastAsia" w:ascii="Times New Roman" w:hAnsi="仿宋" w:eastAsia="仿宋" w:cs="Times New Roman"/>
          <w:b/>
          <w:bCs/>
          <w:color w:val="auto"/>
          <w:kern w:val="0"/>
          <w:sz w:val="28"/>
          <w:szCs w:val="28"/>
          <w:lang w:val="en-US" w:eastAsia="en-US"/>
        </w:rPr>
        <w:t>.2</w:t>
      </w:r>
      <w:r>
        <w:rPr>
          <w:rFonts w:hint="eastAsia" w:ascii="Times New Roman" w:hAnsi="仿宋" w:eastAsia="仿宋" w:cs="Times New Roman"/>
          <w:b/>
          <w:bCs/>
          <w:color w:val="auto"/>
          <w:kern w:val="0"/>
          <w:sz w:val="28"/>
          <w:szCs w:val="28"/>
          <w:lang w:val="en-US" w:eastAsia="zh-CN"/>
        </w:rPr>
        <w:t>现有环境风险防控情况</w:t>
      </w:r>
      <w:bookmarkEnd w:id="53"/>
      <w:bookmarkEnd w:id="54"/>
      <w:bookmarkEnd w:id="55"/>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 xml:space="preserve">（1）厂区制定了各项安全生产管理制度、严格的生产操作规程和完善的事故应急计划及相应的应急处理手段和设施、各级机构职责，同时加强安全教育，以提高职工的安全意识和安全防范能力。公司组建了突发环境事件应急中心，并成立了领导小组，同时组建了应急救援队伍，全面负责突发环境事件的应急工作；另外，公司每年年底对职工开展环境风险培训和应急演练。 </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 xml:space="preserve">（2）公司已建立环境风险防控重点岗位的责任人或责任机构，落实了定期巡检和维护责任制度。 </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（3）公司污水处理站设置了在线监控系统，一旦发生污水超标排放现场，立即切断出水阀门。如果污水处理设施故障，打开事故池进水阀门，将废水排至事故池。</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（4）设有专人负责检查维修废气处理设施，定期更换活性炭，发现设备损坏及时维修或更换。</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（5）危废暂存间</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厂区危废暂存库内危险废物全部分类堆放，贴有辨识标签，危废暂存间具有“四防”设施，能够满足危险废物暂存要求。</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（6）警示标志</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厂区在危险化学品仓库、罐区、生产车间等设立安全警示标志牌，表述化学品在处置、搬运、储存和使用作业中所应注意的事项和发生意外时简单有效的救护措施等，要求内容简明扼要、重点突出。</w:t>
      </w:r>
    </w:p>
    <w:p>
      <w:pPr>
        <w:widowControl/>
        <w:wordWrap/>
        <w:spacing w:beforeAutospacing="0" w:line="360" w:lineRule="auto"/>
        <w:jc w:val="left"/>
        <w:textAlignment w:val="auto"/>
        <w:outlineLvl w:val="2"/>
        <w:rPr>
          <w:rFonts w:hint="eastAsia" w:ascii="Times New Roman" w:hAnsi="仿宋" w:eastAsia="仿宋" w:cs="Times New Roman"/>
          <w:b/>
          <w:bCs/>
          <w:color w:val="auto"/>
          <w:kern w:val="0"/>
          <w:sz w:val="28"/>
          <w:szCs w:val="28"/>
          <w:lang w:val="en-US" w:eastAsia="zh-CN"/>
        </w:rPr>
      </w:pPr>
      <w:bookmarkStart w:id="56" w:name="_Toc31529"/>
      <w:bookmarkStart w:id="57" w:name="_Toc15024"/>
      <w:bookmarkStart w:id="58" w:name="_Toc2324"/>
      <w:r>
        <w:rPr>
          <w:rFonts w:hint="eastAsia" w:ascii="Times New Roman" w:hAnsi="仿宋" w:eastAsia="仿宋" w:cs="Times New Roman"/>
          <w:b/>
          <w:bCs/>
          <w:color w:val="auto"/>
          <w:kern w:val="0"/>
          <w:sz w:val="28"/>
          <w:szCs w:val="28"/>
          <w:lang w:val="en-US" w:eastAsia="zh-CN"/>
        </w:rPr>
        <w:t>3.7.3 现有环境风险应急措施情况</w:t>
      </w:r>
      <w:bookmarkEnd w:id="56"/>
      <w:bookmarkEnd w:id="57"/>
      <w:bookmarkEnd w:id="58"/>
      <w:r>
        <w:rPr>
          <w:rFonts w:hint="eastAsia" w:ascii="Times New Roman" w:hAnsi="仿宋" w:eastAsia="仿宋" w:cs="Times New Roman"/>
          <w:b/>
          <w:bCs/>
          <w:color w:val="auto"/>
          <w:kern w:val="0"/>
          <w:sz w:val="28"/>
          <w:szCs w:val="28"/>
          <w:lang w:val="en-US" w:eastAsia="zh-CN"/>
        </w:rPr>
        <w:t xml:space="preserve"> </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 xml:space="preserve">为避免本公司危险化学品泄漏，引起污染、火灾、爆炸事故，设置了如下防范措施： </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 xml:space="preserve">（1）化学品仓库严禁烟火，配备消防砂、灭火器、报警仪等消防设施。 </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 xml:space="preserve">（2）加强电气维护，保证线路绝缘、接地、漏电保护装置完好。 </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 xml:space="preserve">（3）设置应急通风管道。 </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（4）罐区设置围堰及收集沟，一旦发生泄露，有围堰围挡，由收集沟收集排至事故池。</w:t>
      </w:r>
    </w:p>
    <w:p>
      <w:pPr>
        <w:wordWrap/>
        <w:adjustRightInd w:val="0"/>
        <w:snapToGrid w:val="0"/>
        <w:spacing w:line="240" w:lineRule="auto"/>
        <w:ind w:firstLine="560" w:firstLineChars="200"/>
        <w:textAlignment w:val="auto"/>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（5）生产车间周边设置污水收集沟，消防尾水、设备冲洗水等可经收集沟收集排至事故池或污水处理站。</w:t>
      </w:r>
    </w:p>
    <w:p>
      <w:pPr>
        <w:widowControl/>
        <w:wordWrap/>
        <w:spacing w:beforeAutospacing="0" w:line="360" w:lineRule="auto"/>
        <w:jc w:val="left"/>
        <w:textAlignment w:val="auto"/>
        <w:outlineLvl w:val="2"/>
        <w:rPr>
          <w:rFonts w:hint="eastAsia" w:ascii="Times New Roman" w:hAnsi="仿宋" w:eastAsia="仿宋" w:cs="Times New Roman"/>
          <w:b/>
          <w:bCs/>
          <w:color w:val="auto"/>
          <w:kern w:val="0"/>
          <w:sz w:val="28"/>
          <w:szCs w:val="28"/>
          <w:lang w:val="en-US" w:eastAsia="zh-CN"/>
        </w:rPr>
      </w:pPr>
      <w:bookmarkStart w:id="59" w:name="_Toc7368"/>
      <w:bookmarkStart w:id="60" w:name="_Toc19712"/>
      <w:bookmarkStart w:id="61" w:name="_Toc2397"/>
      <w:r>
        <w:rPr>
          <w:rFonts w:hint="eastAsia" w:ascii="Times New Roman" w:hAnsi="仿宋" w:eastAsia="仿宋" w:cs="Times New Roman"/>
          <w:b/>
          <w:bCs/>
          <w:color w:val="auto"/>
          <w:kern w:val="0"/>
          <w:sz w:val="28"/>
          <w:szCs w:val="28"/>
          <w:lang w:val="en-US" w:eastAsia="en-US"/>
        </w:rPr>
        <w:t>3.</w:t>
      </w:r>
      <w:r>
        <w:rPr>
          <w:rFonts w:hint="eastAsia" w:ascii="Times New Roman" w:hAnsi="仿宋" w:eastAsia="仿宋" w:cs="Times New Roman"/>
          <w:b/>
          <w:bCs/>
          <w:color w:val="auto"/>
          <w:kern w:val="0"/>
          <w:sz w:val="28"/>
          <w:szCs w:val="28"/>
          <w:lang w:val="en-US" w:eastAsia="zh-CN"/>
        </w:rPr>
        <w:t>7</w:t>
      </w:r>
      <w:r>
        <w:rPr>
          <w:rFonts w:hint="eastAsia" w:ascii="Times New Roman" w:hAnsi="仿宋" w:eastAsia="仿宋" w:cs="Times New Roman"/>
          <w:b/>
          <w:bCs/>
          <w:color w:val="auto"/>
          <w:kern w:val="0"/>
          <w:sz w:val="28"/>
          <w:szCs w:val="28"/>
          <w:lang w:val="en-US" w:eastAsia="en-US"/>
        </w:rPr>
        <w:t>.</w:t>
      </w:r>
      <w:r>
        <w:rPr>
          <w:rFonts w:hint="eastAsia" w:ascii="Times New Roman" w:hAnsi="仿宋" w:eastAsia="仿宋" w:cs="Times New Roman"/>
          <w:b/>
          <w:bCs/>
          <w:color w:val="auto"/>
          <w:kern w:val="0"/>
          <w:sz w:val="28"/>
          <w:szCs w:val="28"/>
          <w:lang w:val="en-US" w:eastAsia="zh-CN"/>
        </w:rPr>
        <w:t>4雨排水、清净下水、生产废水排放去向</w:t>
      </w:r>
      <w:bookmarkEnd w:id="59"/>
      <w:bookmarkEnd w:id="60"/>
      <w:bookmarkEnd w:id="61"/>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雨排水进入厂区的雨水收集管网；公司产生的废水主要设备冲洗水、实验室废水，排至厂内污水处理厂处理后，与纯水制备浓水一并排入园区污水处理厂。</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对照《企业突发环境事件风险评估指南（试行）》附录C中企业环境风险防控与应急措施实行标准对照表，企业现有环境风险防控及应急措施评估结果见表3.7-1。</w:t>
      </w:r>
    </w:p>
    <w:p>
      <w:pPr>
        <w:wordWrap/>
        <w:adjustRightInd w:val="0"/>
        <w:snapToGrid w:val="0"/>
        <w:spacing w:line="240" w:lineRule="auto"/>
        <w:ind w:firstLine="560" w:firstLineChars="200"/>
        <w:textAlignment w:val="auto"/>
        <w:rPr>
          <w:rFonts w:hint="eastAsia" w:ascii="Times New Roman" w:hAnsi="Times New Roman" w:eastAsia="仿宋_GB2312" w:cs="Times New Roman"/>
          <w:color w:val="auto"/>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8"/>
        <w:spacing w:line="240" w:lineRule="auto"/>
        <w:ind w:firstLine="560"/>
        <w:jc w:val="center"/>
        <w:rPr>
          <w:rFonts w:ascii="Times New Roman" w:eastAsia="仿宋"/>
          <w:b/>
          <w:bCs/>
          <w:color w:val="auto"/>
          <w:sz w:val="24"/>
          <w:szCs w:val="24"/>
          <w:highlight w:val="none"/>
        </w:rPr>
      </w:pPr>
      <w:r>
        <w:rPr>
          <w:rFonts w:ascii="Times New Roman" w:eastAsia="仿宋"/>
          <w:b/>
          <w:bCs/>
          <w:color w:val="auto"/>
          <w:sz w:val="24"/>
          <w:szCs w:val="24"/>
          <w:highlight w:val="none"/>
        </w:rPr>
        <w:t>表3.</w:t>
      </w:r>
      <w:r>
        <w:rPr>
          <w:rFonts w:hint="eastAsia" w:ascii="Times New Roman" w:eastAsia="仿宋"/>
          <w:b/>
          <w:bCs/>
          <w:color w:val="auto"/>
          <w:sz w:val="24"/>
          <w:szCs w:val="24"/>
          <w:highlight w:val="none"/>
          <w:lang w:val="en-US" w:eastAsia="zh-CN"/>
        </w:rPr>
        <w:t>7</w:t>
      </w:r>
      <w:r>
        <w:rPr>
          <w:rFonts w:ascii="Times New Roman" w:eastAsia="仿宋"/>
          <w:b/>
          <w:bCs/>
          <w:color w:val="auto"/>
          <w:sz w:val="24"/>
          <w:szCs w:val="24"/>
          <w:highlight w:val="none"/>
        </w:rPr>
        <w:t xml:space="preserve">-1 </w:t>
      </w:r>
      <w:r>
        <w:rPr>
          <w:rFonts w:ascii="Times New Roman" w:eastAsia="仿宋"/>
          <w:b/>
          <w:bCs/>
          <w:color w:val="auto"/>
          <w:sz w:val="24"/>
          <w:szCs w:val="24"/>
          <w:highlight w:val="none"/>
        </w:rPr>
        <w:t>现有环境风险防控及应急措施</w:t>
      </w:r>
      <w:r>
        <w:rPr>
          <w:rFonts w:ascii="Times New Roman" w:eastAsia="仿宋"/>
          <w:b/>
          <w:bCs/>
          <w:color w:val="auto"/>
          <w:sz w:val="24"/>
          <w:szCs w:val="24"/>
          <w:highlight w:val="none"/>
        </w:rPr>
        <w:t>评估</w:t>
      </w:r>
    </w:p>
    <w:tbl>
      <w:tblPr>
        <w:tblStyle w:val="21"/>
        <w:tblW w:w="141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7946"/>
        <w:gridCol w:w="720"/>
        <w:gridCol w:w="3618"/>
        <w:gridCol w:w="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Align w:val="center"/>
          </w:tcPr>
          <w:p>
            <w:pPr>
              <w:pStyle w:val="8"/>
              <w:spacing w:line="240" w:lineRule="auto"/>
              <w:ind w:firstLine="0" w:firstLineChars="0"/>
              <w:jc w:val="center"/>
              <w:rPr>
                <w:rFonts w:ascii="Times New Roman" w:eastAsia="仿宋"/>
                <w:b/>
                <w:bCs/>
                <w:color w:val="auto"/>
                <w:sz w:val="21"/>
                <w:szCs w:val="21"/>
                <w:highlight w:val="none"/>
              </w:rPr>
            </w:pPr>
            <w:r>
              <w:rPr>
                <w:rFonts w:ascii="Times New Roman" w:eastAsia="仿宋"/>
                <w:b/>
                <w:bCs/>
                <w:color w:val="auto"/>
                <w:sz w:val="21"/>
                <w:szCs w:val="21"/>
                <w:highlight w:val="none"/>
              </w:rPr>
              <w:t>评估指标</w:t>
            </w:r>
          </w:p>
        </w:tc>
        <w:tc>
          <w:tcPr>
            <w:tcW w:w="7946" w:type="dxa"/>
            <w:vAlign w:val="center"/>
          </w:tcPr>
          <w:p>
            <w:pPr>
              <w:pStyle w:val="8"/>
              <w:spacing w:line="240" w:lineRule="auto"/>
              <w:ind w:firstLine="0" w:firstLineChars="0"/>
              <w:jc w:val="center"/>
              <w:rPr>
                <w:rFonts w:ascii="Times New Roman" w:eastAsia="仿宋"/>
                <w:b/>
                <w:bCs/>
                <w:color w:val="auto"/>
                <w:sz w:val="21"/>
                <w:szCs w:val="21"/>
                <w:highlight w:val="none"/>
              </w:rPr>
            </w:pPr>
            <w:r>
              <w:rPr>
                <w:rFonts w:ascii="Times New Roman" w:eastAsia="仿宋"/>
                <w:b/>
                <w:bCs/>
                <w:color w:val="auto"/>
                <w:sz w:val="21"/>
                <w:szCs w:val="21"/>
                <w:highlight w:val="none"/>
              </w:rPr>
              <w:t>评 估 依 据</w:t>
            </w:r>
          </w:p>
        </w:tc>
        <w:tc>
          <w:tcPr>
            <w:tcW w:w="720" w:type="dxa"/>
            <w:vAlign w:val="center"/>
          </w:tcPr>
          <w:p>
            <w:pPr>
              <w:pStyle w:val="8"/>
              <w:spacing w:line="240" w:lineRule="auto"/>
              <w:ind w:firstLine="0" w:firstLineChars="0"/>
              <w:jc w:val="center"/>
              <w:rPr>
                <w:rFonts w:ascii="Times New Roman" w:eastAsia="仿宋"/>
                <w:b/>
                <w:bCs/>
                <w:color w:val="auto"/>
                <w:sz w:val="21"/>
                <w:szCs w:val="21"/>
                <w:highlight w:val="none"/>
              </w:rPr>
            </w:pPr>
            <w:r>
              <w:rPr>
                <w:rFonts w:ascii="Times New Roman" w:eastAsia="仿宋"/>
                <w:b/>
                <w:bCs/>
                <w:color w:val="auto"/>
                <w:sz w:val="21"/>
                <w:szCs w:val="21"/>
                <w:highlight w:val="none"/>
              </w:rPr>
              <w:t>分值</w:t>
            </w:r>
          </w:p>
        </w:tc>
        <w:tc>
          <w:tcPr>
            <w:tcW w:w="3618" w:type="dxa"/>
            <w:vAlign w:val="center"/>
          </w:tcPr>
          <w:p>
            <w:pPr>
              <w:pStyle w:val="8"/>
              <w:spacing w:line="240" w:lineRule="auto"/>
              <w:ind w:firstLine="0" w:firstLineChars="0"/>
              <w:jc w:val="center"/>
              <w:rPr>
                <w:rFonts w:ascii="Times New Roman" w:eastAsia="仿宋"/>
                <w:b/>
                <w:bCs/>
                <w:color w:val="auto"/>
                <w:sz w:val="21"/>
                <w:szCs w:val="21"/>
                <w:highlight w:val="none"/>
              </w:rPr>
            </w:pPr>
            <w:r>
              <w:rPr>
                <w:rFonts w:ascii="Times New Roman" w:eastAsia="仿宋"/>
                <w:b/>
                <w:bCs/>
                <w:color w:val="auto"/>
                <w:sz w:val="21"/>
                <w:szCs w:val="21"/>
                <w:highlight w:val="none"/>
              </w:rPr>
              <w:t>企业情况</w:t>
            </w:r>
          </w:p>
        </w:tc>
        <w:tc>
          <w:tcPr>
            <w:tcW w:w="642" w:type="dxa"/>
            <w:vAlign w:val="center"/>
          </w:tcPr>
          <w:p>
            <w:pPr>
              <w:pStyle w:val="8"/>
              <w:spacing w:line="240" w:lineRule="auto"/>
              <w:ind w:firstLine="0" w:firstLineChars="0"/>
              <w:jc w:val="center"/>
              <w:rPr>
                <w:rFonts w:ascii="Times New Roman" w:eastAsia="仿宋"/>
                <w:b/>
                <w:bCs/>
                <w:color w:val="auto"/>
                <w:sz w:val="21"/>
                <w:szCs w:val="21"/>
                <w:highlight w:val="none"/>
              </w:rPr>
            </w:pPr>
            <w:r>
              <w:rPr>
                <w:rFonts w:ascii="Times New Roman" w:eastAsia="仿宋"/>
                <w:b/>
                <w:bCs/>
                <w:color w:val="auto"/>
                <w:sz w:val="21"/>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restart"/>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截流措施</w:t>
            </w:r>
          </w:p>
        </w:tc>
        <w:tc>
          <w:tcPr>
            <w:tcW w:w="7946" w:type="dxa"/>
            <w:vAlign w:val="center"/>
          </w:tcPr>
          <w:p>
            <w:pPr>
              <w:pStyle w:val="8"/>
              <w:spacing w:line="240" w:lineRule="auto"/>
              <w:ind w:firstLine="420"/>
              <w:rPr>
                <w:rFonts w:ascii="Times New Roman" w:eastAsia="仿宋"/>
                <w:color w:val="auto"/>
                <w:sz w:val="21"/>
                <w:szCs w:val="21"/>
                <w:highlight w:val="none"/>
              </w:rPr>
            </w:pPr>
            <w:r>
              <w:rPr>
                <w:rFonts w:ascii="Times New Roman" w:eastAsia="仿宋"/>
                <w:color w:val="auto"/>
                <w:sz w:val="21"/>
                <w:szCs w:val="21"/>
                <w:highlight w:val="none"/>
              </w:rPr>
              <w:t>1)各个环境风险单元设防渗漏、防腐蚀、防淋溶、防流失措施，设防初期雨水、泄漏物、受污染的消防水（溢）流入雨水和清净下水系统的导流围挡收集措施（如防火堤、围堰等），且相关措施符合设计规范；</w:t>
            </w:r>
          </w:p>
          <w:p>
            <w:pPr>
              <w:pStyle w:val="8"/>
              <w:spacing w:line="240" w:lineRule="auto"/>
              <w:ind w:firstLine="420"/>
              <w:rPr>
                <w:rFonts w:ascii="Times New Roman" w:eastAsia="仿宋"/>
                <w:color w:val="auto"/>
                <w:sz w:val="21"/>
                <w:szCs w:val="21"/>
                <w:highlight w:val="none"/>
              </w:rPr>
            </w:pPr>
            <w:r>
              <w:rPr>
                <w:rFonts w:ascii="Times New Roman" w:eastAsia="仿宋"/>
                <w:color w:val="auto"/>
                <w:sz w:val="21"/>
                <w:szCs w:val="21"/>
                <w:highlight w:val="none"/>
              </w:rPr>
              <w:t>2)装置围堰与罐区防火堤（围堰）外设排水切换阀，正常情况下通向雨水系统的阀门关闭，通向事故存液池、应急事故水池、清净下水排放缓冲池或污水处理系统的阀门打开；</w:t>
            </w:r>
          </w:p>
          <w:p>
            <w:pPr>
              <w:pStyle w:val="8"/>
              <w:spacing w:line="240" w:lineRule="auto"/>
              <w:ind w:firstLine="420"/>
              <w:rPr>
                <w:rFonts w:ascii="Times New Roman" w:eastAsia="仿宋"/>
                <w:color w:val="auto"/>
                <w:sz w:val="21"/>
                <w:szCs w:val="21"/>
                <w:highlight w:val="none"/>
              </w:rPr>
            </w:pPr>
            <w:r>
              <w:rPr>
                <w:rFonts w:ascii="Times New Roman" w:eastAsia="仿宋"/>
                <w:color w:val="auto"/>
                <w:sz w:val="21"/>
                <w:szCs w:val="21"/>
                <w:highlight w:val="none"/>
              </w:rPr>
              <w:t>3)前述措施日常管理及维护良好，有专人负责阀门切换，保证初期雨水、泄漏物和受污染的消防水排入污水系统。</w:t>
            </w:r>
          </w:p>
        </w:tc>
        <w:tc>
          <w:tcPr>
            <w:tcW w:w="720" w:type="dxa"/>
            <w:vAlign w:val="center"/>
          </w:tcPr>
          <w:p>
            <w:pPr>
              <w:pStyle w:val="8"/>
              <w:spacing w:line="240" w:lineRule="auto"/>
              <w:ind w:firstLine="0" w:firstLineChars="0"/>
              <w:jc w:val="center"/>
              <w:rPr>
                <w:rFonts w:ascii="Times New Roman" w:eastAsia="仿宋"/>
                <w:color w:val="auto"/>
                <w:sz w:val="21"/>
                <w:szCs w:val="21"/>
                <w:highlight w:val="none"/>
              </w:rPr>
            </w:pPr>
            <w:r>
              <w:rPr>
                <w:rFonts w:ascii="Times New Roman" w:eastAsia="仿宋"/>
                <w:color w:val="auto"/>
                <w:sz w:val="21"/>
                <w:szCs w:val="21"/>
                <w:highlight w:val="none"/>
              </w:rPr>
              <w:t>0</w:t>
            </w:r>
          </w:p>
        </w:tc>
        <w:tc>
          <w:tcPr>
            <w:tcW w:w="3618" w:type="dxa"/>
            <w:vAlign w:val="center"/>
          </w:tcPr>
          <w:p>
            <w:pPr>
              <w:pStyle w:val="8"/>
              <w:spacing w:line="240" w:lineRule="auto"/>
              <w:ind w:firstLine="210" w:firstLineChars="100"/>
              <w:rPr>
                <w:rFonts w:ascii="Times New Roman" w:eastAsia="仿宋"/>
                <w:color w:val="auto"/>
                <w:sz w:val="21"/>
                <w:szCs w:val="21"/>
                <w:highlight w:val="none"/>
              </w:rPr>
            </w:pPr>
            <w:r>
              <w:rPr>
                <w:rFonts w:ascii="Times New Roman" w:eastAsia="仿宋"/>
                <w:color w:val="auto"/>
                <w:sz w:val="21"/>
                <w:szCs w:val="21"/>
                <w:highlight w:val="none"/>
              </w:rPr>
              <w:t>1）企业实行雨污分流，生产车间</w:t>
            </w:r>
            <w:r>
              <w:rPr>
                <w:rFonts w:hint="eastAsia" w:ascii="Times New Roman" w:eastAsia="仿宋"/>
                <w:color w:val="auto"/>
                <w:sz w:val="21"/>
                <w:szCs w:val="21"/>
                <w:highlight w:val="none"/>
              </w:rPr>
              <w:t>内</w:t>
            </w:r>
            <w:r>
              <w:rPr>
                <w:rFonts w:ascii="Times New Roman" w:eastAsia="仿宋"/>
                <w:color w:val="auto"/>
                <w:sz w:val="21"/>
                <w:szCs w:val="21"/>
                <w:highlight w:val="none"/>
              </w:rPr>
              <w:t>设置污水</w:t>
            </w:r>
            <w:r>
              <w:rPr>
                <w:rFonts w:hint="eastAsia" w:ascii="Times New Roman" w:eastAsia="仿宋"/>
                <w:color w:val="auto"/>
                <w:sz w:val="21"/>
                <w:szCs w:val="21"/>
                <w:highlight w:val="none"/>
              </w:rPr>
              <w:t>收集沟</w:t>
            </w:r>
            <w:r>
              <w:rPr>
                <w:rFonts w:ascii="Times New Roman" w:eastAsia="仿宋"/>
                <w:color w:val="auto"/>
                <w:sz w:val="21"/>
                <w:szCs w:val="21"/>
                <w:highlight w:val="none"/>
              </w:rPr>
              <w:t>，收集污水汇集到污水处理站。</w:t>
            </w:r>
          </w:p>
          <w:p>
            <w:pPr>
              <w:pStyle w:val="8"/>
              <w:spacing w:line="240" w:lineRule="auto"/>
              <w:ind w:firstLine="210" w:firstLineChars="100"/>
              <w:rPr>
                <w:rFonts w:hint="eastAsia" w:ascii="Times New Roman" w:eastAsia="仿宋"/>
                <w:color w:val="auto"/>
                <w:sz w:val="21"/>
                <w:szCs w:val="21"/>
                <w:highlight w:val="none"/>
              </w:rPr>
            </w:pPr>
            <w:r>
              <w:rPr>
                <w:rFonts w:ascii="Times New Roman" w:eastAsia="仿宋"/>
                <w:color w:val="auto"/>
                <w:sz w:val="21"/>
                <w:szCs w:val="21"/>
                <w:highlight w:val="none"/>
              </w:rPr>
              <w:t>2）事故状态下产生的消防水经切换阀门，由</w:t>
            </w:r>
            <w:r>
              <w:rPr>
                <w:rFonts w:hint="eastAsia" w:ascii="Times New Roman" w:eastAsia="仿宋"/>
                <w:color w:val="auto"/>
                <w:sz w:val="21"/>
                <w:szCs w:val="21"/>
                <w:highlight w:val="none"/>
              </w:rPr>
              <w:t>雨水管网</w:t>
            </w:r>
            <w:r>
              <w:rPr>
                <w:rFonts w:ascii="Times New Roman" w:eastAsia="仿宋"/>
                <w:color w:val="auto"/>
                <w:sz w:val="21"/>
                <w:szCs w:val="21"/>
                <w:highlight w:val="none"/>
              </w:rPr>
              <w:t>汇集到厂内事故水池进行暂存。</w:t>
            </w:r>
          </w:p>
          <w:p>
            <w:pPr>
              <w:pStyle w:val="8"/>
              <w:spacing w:line="240" w:lineRule="auto"/>
              <w:ind w:firstLine="210" w:firstLineChars="100"/>
              <w:rPr>
                <w:rFonts w:hint="eastAsia" w:ascii="Times New Roman" w:eastAsia="仿宋"/>
                <w:color w:val="auto"/>
                <w:sz w:val="21"/>
                <w:szCs w:val="21"/>
                <w:highlight w:val="none"/>
                <w:lang w:val="en-US" w:eastAsia="zh-CN"/>
              </w:rPr>
            </w:pPr>
            <w:r>
              <w:rPr>
                <w:rFonts w:hint="eastAsia" w:ascii="Times New Roman" w:eastAsia="仿宋"/>
                <w:color w:val="auto"/>
                <w:sz w:val="21"/>
                <w:szCs w:val="21"/>
                <w:highlight w:val="none"/>
              </w:rPr>
              <w:t>3）</w:t>
            </w:r>
            <w:r>
              <w:rPr>
                <w:rFonts w:ascii="Times New Roman" w:eastAsia="仿宋"/>
                <w:color w:val="auto"/>
                <w:sz w:val="21"/>
                <w:szCs w:val="21"/>
                <w:highlight w:val="none"/>
              </w:rPr>
              <w:t>罐区围堰外设排水切换阀，正常情况下通向雨水系统的阀门关闭，通向</w:t>
            </w:r>
            <w:r>
              <w:rPr>
                <w:rFonts w:hint="eastAsia" w:ascii="Times New Roman" w:eastAsia="仿宋"/>
                <w:color w:val="auto"/>
                <w:sz w:val="21"/>
                <w:szCs w:val="21"/>
                <w:highlight w:val="none"/>
              </w:rPr>
              <w:t>应</w:t>
            </w:r>
            <w:r>
              <w:rPr>
                <w:rFonts w:ascii="Times New Roman" w:eastAsia="仿宋"/>
                <w:color w:val="auto"/>
                <w:sz w:val="21"/>
                <w:szCs w:val="21"/>
                <w:highlight w:val="none"/>
              </w:rPr>
              <w:t>急事故水池的阀门打开</w:t>
            </w:r>
            <w:r>
              <w:rPr>
                <w:rFonts w:hint="eastAsia" w:ascii="Times New Roman" w:eastAsia="仿宋"/>
                <w:color w:val="auto"/>
                <w:sz w:val="21"/>
                <w:szCs w:val="21"/>
                <w:highlight w:val="none"/>
                <w:lang w:eastAsia="zh-CN"/>
              </w:rPr>
              <w:t>。</w:t>
            </w:r>
          </w:p>
        </w:tc>
        <w:tc>
          <w:tcPr>
            <w:tcW w:w="642" w:type="dxa"/>
            <w:vAlign w:val="center"/>
          </w:tcPr>
          <w:p>
            <w:pPr>
              <w:pStyle w:val="8"/>
              <w:spacing w:line="240" w:lineRule="auto"/>
              <w:ind w:firstLine="0" w:firstLineChars="0"/>
              <w:jc w:val="center"/>
              <w:rPr>
                <w:rFonts w:ascii="Times New Roman" w:eastAsia="仿宋"/>
                <w:color w:val="auto"/>
                <w:sz w:val="21"/>
                <w:szCs w:val="21"/>
              </w:rPr>
            </w:pPr>
            <w:r>
              <w:rPr>
                <w:rFonts w:hint="eastAsia" w:ascii="Times New Roman" w:eastAsia="仿宋"/>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vAlign w:val="center"/>
          </w:tcPr>
          <w:p>
            <w:pPr>
              <w:pStyle w:val="8"/>
              <w:spacing w:line="240" w:lineRule="auto"/>
              <w:ind w:firstLine="0" w:firstLineChars="0"/>
              <w:jc w:val="center"/>
              <w:rPr>
                <w:rFonts w:ascii="Times New Roman" w:eastAsia="仿宋"/>
                <w:color w:val="auto"/>
                <w:sz w:val="21"/>
                <w:szCs w:val="21"/>
              </w:rPr>
            </w:pPr>
          </w:p>
        </w:tc>
        <w:tc>
          <w:tcPr>
            <w:tcW w:w="7946"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 xml:space="preserve">  有任意一个环境风险单元的截流措施不符合上述任意一条要求的。</w:t>
            </w:r>
          </w:p>
        </w:tc>
        <w:tc>
          <w:tcPr>
            <w:tcW w:w="720"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8</w:t>
            </w:r>
          </w:p>
        </w:tc>
        <w:tc>
          <w:tcPr>
            <w:tcW w:w="3618" w:type="dxa"/>
            <w:vAlign w:val="center"/>
          </w:tcPr>
          <w:p>
            <w:pPr>
              <w:pStyle w:val="8"/>
              <w:spacing w:line="240" w:lineRule="auto"/>
              <w:ind w:firstLine="0" w:firstLineChars="0"/>
              <w:jc w:val="center"/>
              <w:rPr>
                <w:rFonts w:ascii="Times New Roman" w:eastAsia="仿宋"/>
                <w:color w:val="auto"/>
                <w:sz w:val="21"/>
                <w:szCs w:val="21"/>
                <w:highlight w:val="yellow"/>
              </w:rPr>
            </w:pPr>
            <w:r>
              <w:rPr>
                <w:rFonts w:hint="eastAsia" w:ascii="Times New Roman" w:eastAsia="仿宋"/>
                <w:color w:val="auto"/>
                <w:sz w:val="21"/>
                <w:szCs w:val="21"/>
                <w:highlight w:val="none"/>
              </w:rPr>
              <w:t>/</w:t>
            </w:r>
          </w:p>
        </w:tc>
        <w:tc>
          <w:tcPr>
            <w:tcW w:w="642" w:type="dxa"/>
            <w:vAlign w:val="center"/>
          </w:tcPr>
          <w:p>
            <w:pPr>
              <w:pStyle w:val="8"/>
              <w:spacing w:line="240" w:lineRule="auto"/>
              <w:ind w:firstLine="0" w:firstLineChars="0"/>
              <w:jc w:val="center"/>
              <w:rPr>
                <w:rFonts w:hint="eastAsia" w:ascii="Times New Roman" w:eastAsia="仿宋"/>
                <w:color w:val="auto"/>
                <w:sz w:val="21"/>
                <w:szCs w:val="21"/>
                <w:lang w:eastAsia="zh-CN"/>
              </w:rPr>
            </w:pPr>
            <w:r>
              <w:rPr>
                <w:rFonts w:hint="eastAsia" w:ascii="Times New Roman" w:eastAsia="仿宋"/>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restart"/>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事故排水</w:t>
            </w:r>
          </w:p>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收集措施</w:t>
            </w:r>
          </w:p>
        </w:tc>
        <w:tc>
          <w:tcPr>
            <w:tcW w:w="7946" w:type="dxa"/>
            <w:vAlign w:val="center"/>
          </w:tcPr>
          <w:p>
            <w:pPr>
              <w:pStyle w:val="8"/>
              <w:spacing w:line="240" w:lineRule="auto"/>
              <w:ind w:firstLine="420"/>
              <w:rPr>
                <w:rFonts w:ascii="Times New Roman" w:eastAsia="仿宋"/>
                <w:color w:val="auto"/>
                <w:sz w:val="21"/>
                <w:szCs w:val="21"/>
              </w:rPr>
            </w:pPr>
            <w:r>
              <w:rPr>
                <w:rFonts w:ascii="Times New Roman" w:eastAsia="仿宋"/>
                <w:color w:val="auto"/>
                <w:sz w:val="21"/>
                <w:szCs w:val="21"/>
              </w:rPr>
              <w:t>1)按相关设计规范设置应急事故水池、事故存液池或清净下水排放缓冲池等事故排水收集设施，并根据下游环境风险受体敏感程度和易发生极端天气情况，设置事故排水收集设施的容量；</w:t>
            </w:r>
          </w:p>
          <w:p>
            <w:pPr>
              <w:pStyle w:val="8"/>
              <w:spacing w:line="240" w:lineRule="auto"/>
              <w:ind w:firstLine="420"/>
              <w:rPr>
                <w:rFonts w:ascii="Times New Roman" w:eastAsia="仿宋"/>
                <w:color w:val="auto"/>
                <w:sz w:val="21"/>
                <w:szCs w:val="21"/>
              </w:rPr>
            </w:pPr>
            <w:r>
              <w:rPr>
                <w:rFonts w:ascii="Times New Roman" w:eastAsia="仿宋"/>
                <w:color w:val="auto"/>
                <w:sz w:val="21"/>
                <w:szCs w:val="21"/>
              </w:rPr>
              <w:t>2)事故存液池、应急事故水池、清净下水排放缓冲池等事故排水收集设施位置合理，能自流式或确保事故状态下顺利收集泄漏物和消防水，日常保持足够的事故排水缓冲容量；</w:t>
            </w:r>
          </w:p>
          <w:p>
            <w:pPr>
              <w:pStyle w:val="8"/>
              <w:spacing w:line="240" w:lineRule="auto"/>
              <w:ind w:firstLine="420"/>
              <w:rPr>
                <w:rFonts w:ascii="Times New Roman" w:eastAsia="仿宋"/>
                <w:color w:val="auto"/>
                <w:sz w:val="21"/>
                <w:szCs w:val="21"/>
              </w:rPr>
            </w:pPr>
            <w:r>
              <w:rPr>
                <w:rFonts w:ascii="Times New Roman" w:eastAsia="仿宋"/>
                <w:color w:val="auto"/>
                <w:sz w:val="21"/>
                <w:szCs w:val="21"/>
              </w:rPr>
              <w:t>3)设抽水设施，并与污水管线连接，能将所收集物送至厂区内污水处理设施处理。</w:t>
            </w:r>
          </w:p>
        </w:tc>
        <w:tc>
          <w:tcPr>
            <w:tcW w:w="720"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0</w:t>
            </w:r>
          </w:p>
        </w:tc>
        <w:tc>
          <w:tcPr>
            <w:tcW w:w="3618" w:type="dxa"/>
            <w:vAlign w:val="center"/>
          </w:tcPr>
          <w:p>
            <w:pPr>
              <w:pStyle w:val="8"/>
              <w:spacing w:line="240" w:lineRule="auto"/>
              <w:ind w:firstLine="0" w:firstLineChars="0"/>
              <w:rPr>
                <w:rFonts w:ascii="Times New Roman" w:eastAsia="仿宋"/>
                <w:color w:val="auto"/>
                <w:sz w:val="21"/>
                <w:szCs w:val="21"/>
                <w:highlight w:val="none"/>
              </w:rPr>
            </w:pPr>
            <w:r>
              <w:rPr>
                <w:rFonts w:ascii="Times New Roman" w:eastAsia="仿宋"/>
                <w:color w:val="auto"/>
                <w:sz w:val="21"/>
                <w:szCs w:val="21"/>
                <w:highlight w:val="none"/>
              </w:rPr>
              <w:t>1）企业设有</w:t>
            </w:r>
            <w:r>
              <w:rPr>
                <w:rFonts w:hint="eastAsia" w:ascii="Times New Roman" w:eastAsia="仿宋"/>
                <w:color w:val="auto"/>
                <w:sz w:val="21"/>
                <w:szCs w:val="21"/>
                <w:highlight w:val="none"/>
              </w:rPr>
              <w:t>1</w:t>
            </w:r>
            <w:r>
              <w:rPr>
                <w:rFonts w:ascii="Times New Roman" w:eastAsia="仿宋"/>
                <w:color w:val="auto"/>
                <w:sz w:val="21"/>
                <w:szCs w:val="21"/>
                <w:highlight w:val="none"/>
              </w:rPr>
              <w:t>200m</w:t>
            </w:r>
            <w:r>
              <w:rPr>
                <w:rFonts w:ascii="Times New Roman" w:eastAsia="仿宋"/>
                <w:color w:val="auto"/>
                <w:sz w:val="21"/>
                <w:szCs w:val="21"/>
                <w:highlight w:val="none"/>
                <w:vertAlign w:val="superscript"/>
              </w:rPr>
              <w:t>3</w:t>
            </w:r>
            <w:r>
              <w:rPr>
                <w:rFonts w:ascii="Times New Roman" w:eastAsia="仿宋"/>
                <w:color w:val="auto"/>
                <w:sz w:val="21"/>
                <w:szCs w:val="21"/>
                <w:highlight w:val="none"/>
              </w:rPr>
              <w:t>事故池</w:t>
            </w:r>
            <w:r>
              <w:rPr>
                <w:rFonts w:hint="eastAsia" w:ascii="Times New Roman" w:eastAsia="仿宋"/>
                <w:color w:val="auto"/>
                <w:sz w:val="21"/>
                <w:szCs w:val="21"/>
                <w:highlight w:val="none"/>
              </w:rPr>
              <w:t>和</w:t>
            </w:r>
            <w:r>
              <w:rPr>
                <w:rFonts w:hint="eastAsia" w:ascii="Times New Roman" w:eastAsia="仿宋"/>
                <w:color w:val="auto"/>
                <w:sz w:val="21"/>
                <w:szCs w:val="21"/>
                <w:highlight w:val="none"/>
                <w:lang w:val="en-US" w:eastAsia="zh-CN"/>
              </w:rPr>
              <w:t>200m</w:t>
            </w:r>
            <w:r>
              <w:rPr>
                <w:rFonts w:hint="eastAsia" w:ascii="Times New Roman" w:eastAsia="仿宋"/>
                <w:color w:val="auto"/>
                <w:sz w:val="21"/>
                <w:szCs w:val="21"/>
                <w:highlight w:val="none"/>
                <w:vertAlign w:val="superscript"/>
                <w:lang w:val="en-US" w:eastAsia="zh-CN"/>
              </w:rPr>
              <w:t>3</w:t>
            </w:r>
            <w:r>
              <w:rPr>
                <w:rFonts w:hint="eastAsia" w:ascii="Times New Roman" w:eastAsia="仿宋"/>
                <w:color w:val="auto"/>
                <w:sz w:val="21"/>
                <w:szCs w:val="21"/>
                <w:highlight w:val="none"/>
              </w:rPr>
              <w:t>初期雨水池</w:t>
            </w:r>
            <w:r>
              <w:rPr>
                <w:rFonts w:ascii="Times New Roman" w:eastAsia="仿宋"/>
                <w:color w:val="auto"/>
                <w:sz w:val="21"/>
                <w:szCs w:val="21"/>
                <w:highlight w:val="none"/>
              </w:rPr>
              <w:t>，可基本满足消防废水收集需求。</w:t>
            </w:r>
          </w:p>
          <w:p>
            <w:pPr>
              <w:pStyle w:val="8"/>
              <w:spacing w:line="240" w:lineRule="auto"/>
              <w:ind w:firstLine="0" w:firstLineChars="0"/>
              <w:rPr>
                <w:rFonts w:ascii="Times New Roman" w:eastAsia="仿宋"/>
                <w:color w:val="auto"/>
                <w:sz w:val="21"/>
                <w:szCs w:val="21"/>
                <w:highlight w:val="none"/>
              </w:rPr>
            </w:pPr>
            <w:r>
              <w:rPr>
                <w:rFonts w:ascii="Times New Roman" w:eastAsia="仿宋"/>
                <w:color w:val="auto"/>
                <w:sz w:val="21"/>
                <w:szCs w:val="21"/>
                <w:highlight w:val="none"/>
              </w:rPr>
              <w:t>2）事故池</w:t>
            </w:r>
            <w:r>
              <w:rPr>
                <w:rFonts w:hint="eastAsia" w:ascii="Times New Roman" w:eastAsia="仿宋"/>
                <w:color w:val="auto"/>
                <w:sz w:val="21"/>
                <w:szCs w:val="21"/>
                <w:highlight w:val="none"/>
              </w:rPr>
              <w:t>和初期雨水池</w:t>
            </w:r>
            <w:r>
              <w:rPr>
                <w:rFonts w:ascii="Times New Roman" w:eastAsia="仿宋"/>
                <w:color w:val="auto"/>
                <w:sz w:val="21"/>
                <w:szCs w:val="21"/>
                <w:highlight w:val="none"/>
              </w:rPr>
              <w:t>位于</w:t>
            </w:r>
            <w:r>
              <w:rPr>
                <w:rFonts w:hint="eastAsia" w:ascii="Times New Roman" w:eastAsia="仿宋"/>
                <w:color w:val="auto"/>
                <w:sz w:val="21"/>
                <w:szCs w:val="21"/>
                <w:highlight w:val="none"/>
              </w:rPr>
              <w:t>厂区北侧</w:t>
            </w:r>
            <w:r>
              <w:rPr>
                <w:rFonts w:ascii="Times New Roman" w:eastAsia="仿宋"/>
                <w:color w:val="auto"/>
                <w:sz w:val="21"/>
                <w:szCs w:val="21"/>
                <w:highlight w:val="none"/>
              </w:rPr>
              <w:t>。消防废水可通过雨水管网收集。</w:t>
            </w:r>
          </w:p>
          <w:p>
            <w:pPr>
              <w:pStyle w:val="8"/>
              <w:spacing w:line="240" w:lineRule="auto"/>
              <w:ind w:firstLine="0" w:firstLineChars="0"/>
              <w:rPr>
                <w:rFonts w:ascii="Times New Roman" w:eastAsia="仿宋"/>
                <w:color w:val="auto"/>
                <w:sz w:val="21"/>
                <w:szCs w:val="21"/>
                <w:highlight w:val="none"/>
              </w:rPr>
            </w:pPr>
            <w:r>
              <w:rPr>
                <w:rFonts w:ascii="Times New Roman" w:eastAsia="仿宋"/>
                <w:color w:val="auto"/>
                <w:sz w:val="21"/>
                <w:szCs w:val="21"/>
                <w:highlight w:val="none"/>
              </w:rPr>
              <w:t>3）事故池</w:t>
            </w:r>
            <w:r>
              <w:rPr>
                <w:rFonts w:hint="eastAsia" w:ascii="Times New Roman" w:eastAsia="仿宋"/>
                <w:color w:val="auto"/>
                <w:sz w:val="21"/>
                <w:szCs w:val="21"/>
                <w:highlight w:val="none"/>
              </w:rPr>
              <w:t>和初期雨水池设置</w:t>
            </w:r>
            <w:r>
              <w:rPr>
                <w:rFonts w:ascii="Times New Roman" w:eastAsia="仿宋"/>
                <w:color w:val="auto"/>
                <w:sz w:val="21"/>
                <w:szCs w:val="21"/>
                <w:highlight w:val="none"/>
              </w:rPr>
              <w:t>潜水泵，将收集的污水送至厂区内污水处理设施处理。</w:t>
            </w:r>
          </w:p>
        </w:tc>
        <w:tc>
          <w:tcPr>
            <w:tcW w:w="642"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250" w:type="dxa"/>
            <w:vMerge w:val="continue"/>
            <w:vAlign w:val="center"/>
          </w:tcPr>
          <w:p>
            <w:pPr>
              <w:pStyle w:val="8"/>
              <w:spacing w:line="240" w:lineRule="auto"/>
              <w:ind w:firstLine="0" w:firstLineChars="0"/>
              <w:jc w:val="center"/>
              <w:rPr>
                <w:rFonts w:ascii="Times New Roman" w:eastAsia="仿宋"/>
                <w:color w:val="auto"/>
                <w:sz w:val="21"/>
                <w:szCs w:val="21"/>
              </w:rPr>
            </w:pPr>
          </w:p>
        </w:tc>
        <w:tc>
          <w:tcPr>
            <w:tcW w:w="7946" w:type="dxa"/>
            <w:vAlign w:val="center"/>
          </w:tcPr>
          <w:p>
            <w:pPr>
              <w:pStyle w:val="8"/>
              <w:spacing w:line="240" w:lineRule="auto"/>
              <w:ind w:firstLine="315" w:firstLineChars="150"/>
              <w:rPr>
                <w:rFonts w:ascii="Times New Roman" w:eastAsia="仿宋"/>
                <w:color w:val="auto"/>
                <w:sz w:val="21"/>
                <w:szCs w:val="21"/>
              </w:rPr>
            </w:pPr>
            <w:r>
              <w:rPr>
                <w:rFonts w:ascii="Times New Roman" w:eastAsia="仿宋"/>
                <w:color w:val="auto"/>
                <w:sz w:val="21"/>
                <w:szCs w:val="21"/>
              </w:rPr>
              <w:t>有任意一个环境风险单元的事故排水收集措施不符合上述任意一条要求的。</w:t>
            </w:r>
          </w:p>
        </w:tc>
        <w:tc>
          <w:tcPr>
            <w:tcW w:w="720"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8</w:t>
            </w:r>
          </w:p>
        </w:tc>
        <w:tc>
          <w:tcPr>
            <w:tcW w:w="3618" w:type="dxa"/>
            <w:vAlign w:val="center"/>
          </w:tcPr>
          <w:p>
            <w:pPr>
              <w:pStyle w:val="8"/>
              <w:spacing w:line="240" w:lineRule="auto"/>
              <w:ind w:firstLine="0" w:firstLineChars="0"/>
              <w:jc w:val="center"/>
              <w:rPr>
                <w:rFonts w:hint="eastAsia" w:ascii="Times New Roman" w:eastAsia="仿宋"/>
                <w:color w:val="auto"/>
                <w:sz w:val="21"/>
                <w:szCs w:val="21"/>
                <w:highlight w:val="none"/>
                <w:lang w:eastAsia="zh-CN"/>
              </w:rPr>
            </w:pPr>
            <w:r>
              <w:rPr>
                <w:rFonts w:ascii="Times New Roman" w:eastAsia="仿宋"/>
                <w:color w:val="auto"/>
                <w:sz w:val="21"/>
                <w:szCs w:val="21"/>
                <w:highlight w:val="none"/>
              </w:rPr>
              <w:t>/</w:t>
            </w:r>
          </w:p>
        </w:tc>
        <w:tc>
          <w:tcPr>
            <w:tcW w:w="642" w:type="dxa"/>
            <w:vAlign w:val="center"/>
          </w:tcPr>
          <w:p>
            <w:pPr>
              <w:pStyle w:val="8"/>
              <w:spacing w:line="240" w:lineRule="auto"/>
              <w:ind w:firstLine="0" w:firstLineChars="0"/>
              <w:jc w:val="center"/>
              <w:rPr>
                <w:rFonts w:hint="eastAsia" w:ascii="Times New Roman" w:eastAsia="仿宋"/>
                <w:color w:val="auto"/>
                <w:sz w:val="21"/>
                <w:szCs w:val="21"/>
                <w:lang w:val="en-US" w:eastAsia="zh-CN"/>
              </w:rPr>
            </w:pPr>
            <w:r>
              <w:rPr>
                <w:rFonts w:hint="eastAsia" w:ascii="Times New Roman" w:eastAsia="仿宋"/>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2" w:hRule="atLeast"/>
        </w:trPr>
        <w:tc>
          <w:tcPr>
            <w:tcW w:w="1250" w:type="dxa"/>
            <w:vMerge w:val="restart"/>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清净下水系统防控措施</w:t>
            </w:r>
          </w:p>
        </w:tc>
        <w:tc>
          <w:tcPr>
            <w:tcW w:w="7946" w:type="dxa"/>
            <w:vAlign w:val="center"/>
          </w:tcPr>
          <w:p>
            <w:pPr>
              <w:pStyle w:val="8"/>
              <w:spacing w:line="240" w:lineRule="auto"/>
              <w:ind w:firstLine="420"/>
              <w:rPr>
                <w:rFonts w:ascii="Times New Roman" w:eastAsia="仿宋"/>
                <w:color w:val="auto"/>
                <w:sz w:val="21"/>
                <w:szCs w:val="21"/>
              </w:rPr>
            </w:pPr>
            <w:r>
              <w:rPr>
                <w:rFonts w:ascii="Times New Roman" w:eastAsia="仿宋"/>
                <w:color w:val="auto"/>
                <w:sz w:val="21"/>
                <w:szCs w:val="21"/>
              </w:rPr>
              <w:t>1)不涉及清净下水；或2)厂区内清净下水均进入废水处理系统；或清污分流，且清净下水系统具有下述所有措施：</w:t>
            </w:r>
          </w:p>
          <w:p>
            <w:pPr>
              <w:pStyle w:val="8"/>
              <w:spacing w:line="240" w:lineRule="auto"/>
              <w:ind w:firstLine="420"/>
              <w:rPr>
                <w:rFonts w:ascii="Times New Roman" w:eastAsia="仿宋"/>
                <w:color w:val="auto"/>
                <w:sz w:val="21"/>
                <w:szCs w:val="21"/>
              </w:rPr>
            </w:pPr>
            <w:r>
              <w:rPr>
                <w:rFonts w:hint="eastAsia" w:ascii="宋体" w:hAnsi="宋体" w:eastAsia="宋体" w:cs="宋体"/>
                <w:color w:val="auto"/>
                <w:sz w:val="21"/>
                <w:szCs w:val="21"/>
              </w:rPr>
              <w:t>①</w:t>
            </w:r>
            <w:r>
              <w:rPr>
                <w:rFonts w:ascii="Times New Roman" w:eastAsia="仿宋"/>
                <w:color w:val="auto"/>
                <w:sz w:val="21"/>
                <w:szCs w:val="21"/>
              </w:rPr>
              <w:t>具有收集受污染的清净下水、初期雨水和消防水功能的清净下水排放缓冲池（或雨水收集池），池内日常保持足够的事故排水缓冲容量；池内设有提升设施，能将所集物送至厂区内污水处理设施处理；</w:t>
            </w:r>
          </w:p>
          <w:p>
            <w:pPr>
              <w:pStyle w:val="8"/>
              <w:spacing w:line="240" w:lineRule="auto"/>
              <w:ind w:firstLine="420"/>
              <w:rPr>
                <w:rFonts w:ascii="Times New Roman" w:eastAsia="仿宋"/>
                <w:color w:val="auto"/>
                <w:sz w:val="21"/>
                <w:szCs w:val="21"/>
              </w:rPr>
            </w:pPr>
            <w:r>
              <w:rPr>
                <w:rFonts w:hint="eastAsia" w:ascii="宋体" w:hAnsi="宋体" w:eastAsia="宋体" w:cs="宋体"/>
                <w:color w:val="auto"/>
                <w:sz w:val="21"/>
                <w:szCs w:val="21"/>
              </w:rPr>
              <w:t>②</w:t>
            </w:r>
            <w:r>
              <w:rPr>
                <w:rFonts w:ascii="Times New Roman" w:eastAsia="仿宋"/>
                <w:color w:val="auto"/>
                <w:sz w:val="21"/>
                <w:szCs w:val="21"/>
              </w:rPr>
              <w:t>具有清净下水系统（或排入雨水系统）的总排口监视及关闭设施，有专人负责在紧急情况下关闭清净下水总排口，防止受污染的雨水、清净下水、消防水和泄漏物进入外环境。</w:t>
            </w:r>
          </w:p>
        </w:tc>
        <w:tc>
          <w:tcPr>
            <w:tcW w:w="720"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0</w:t>
            </w:r>
          </w:p>
        </w:tc>
        <w:tc>
          <w:tcPr>
            <w:tcW w:w="3618" w:type="dxa"/>
            <w:vAlign w:val="center"/>
          </w:tcPr>
          <w:p>
            <w:pPr>
              <w:pStyle w:val="8"/>
              <w:spacing w:line="240" w:lineRule="auto"/>
              <w:ind w:firstLine="0" w:firstLineChars="0"/>
              <w:jc w:val="left"/>
              <w:rPr>
                <w:rFonts w:hint="eastAsia" w:ascii="Times New Roman" w:eastAsia="仿宋"/>
                <w:color w:val="auto"/>
                <w:sz w:val="21"/>
                <w:szCs w:val="21"/>
                <w:highlight w:val="none"/>
              </w:rPr>
            </w:pPr>
            <w:r>
              <w:rPr>
                <w:rFonts w:hint="eastAsia" w:ascii="Times New Roman" w:eastAsia="仿宋"/>
                <w:color w:val="auto"/>
                <w:sz w:val="21"/>
                <w:szCs w:val="21"/>
                <w:highlight w:val="none"/>
              </w:rPr>
              <w:t>（1）</w:t>
            </w:r>
            <w:r>
              <w:rPr>
                <w:rFonts w:ascii="Times New Roman" w:eastAsia="仿宋"/>
                <w:color w:val="auto"/>
                <w:sz w:val="21"/>
                <w:szCs w:val="21"/>
                <w:highlight w:val="none"/>
              </w:rPr>
              <w:t>企业</w:t>
            </w:r>
            <w:r>
              <w:rPr>
                <w:rFonts w:hint="eastAsia" w:ascii="Times New Roman" w:eastAsia="仿宋"/>
                <w:color w:val="auto"/>
                <w:sz w:val="21"/>
                <w:szCs w:val="21"/>
                <w:highlight w:val="none"/>
              </w:rPr>
              <w:t>未设置</w:t>
            </w:r>
            <w:r>
              <w:rPr>
                <w:rFonts w:ascii="Times New Roman" w:eastAsia="仿宋"/>
                <w:color w:val="auto"/>
                <w:sz w:val="21"/>
                <w:szCs w:val="21"/>
                <w:highlight w:val="none"/>
              </w:rPr>
              <w:t>清</w:t>
            </w:r>
            <w:r>
              <w:rPr>
                <w:rFonts w:hint="eastAsia" w:ascii="Times New Roman" w:eastAsia="仿宋"/>
                <w:color w:val="auto"/>
                <w:sz w:val="21"/>
                <w:szCs w:val="21"/>
                <w:highlight w:val="none"/>
              </w:rPr>
              <w:t>净</w:t>
            </w:r>
            <w:r>
              <w:rPr>
                <w:rFonts w:ascii="Times New Roman" w:eastAsia="仿宋"/>
                <w:color w:val="auto"/>
                <w:sz w:val="21"/>
                <w:szCs w:val="21"/>
                <w:highlight w:val="none"/>
              </w:rPr>
              <w:t>下水</w:t>
            </w:r>
            <w:r>
              <w:rPr>
                <w:rFonts w:hint="eastAsia" w:ascii="Times New Roman" w:eastAsia="仿宋"/>
                <w:color w:val="auto"/>
                <w:sz w:val="21"/>
                <w:szCs w:val="21"/>
                <w:highlight w:val="none"/>
              </w:rPr>
              <w:t>收集系统，受污染的清净下水可通过雨水收集系统排至初期雨水池。</w:t>
            </w:r>
          </w:p>
          <w:p>
            <w:pPr>
              <w:pStyle w:val="8"/>
              <w:spacing w:line="240" w:lineRule="auto"/>
              <w:ind w:firstLine="0" w:firstLineChars="0"/>
              <w:jc w:val="left"/>
              <w:rPr>
                <w:rFonts w:hint="eastAsia" w:ascii="Times New Roman" w:eastAsia="仿宋"/>
                <w:color w:val="auto"/>
                <w:sz w:val="21"/>
                <w:szCs w:val="21"/>
                <w:highlight w:val="none"/>
                <w:lang w:eastAsia="zh-CN"/>
              </w:rPr>
            </w:pPr>
            <w:r>
              <w:rPr>
                <w:rFonts w:hint="eastAsia" w:ascii="Times New Roman" w:eastAsia="仿宋"/>
                <w:color w:val="auto"/>
                <w:sz w:val="21"/>
                <w:szCs w:val="21"/>
                <w:highlight w:val="none"/>
              </w:rPr>
              <w:t>（2）雨水系统的</w:t>
            </w:r>
            <w:r>
              <w:rPr>
                <w:rFonts w:ascii="Times New Roman" w:eastAsia="仿宋"/>
                <w:color w:val="auto"/>
                <w:sz w:val="21"/>
                <w:szCs w:val="21"/>
                <w:highlight w:val="none"/>
              </w:rPr>
              <w:t>总排口</w:t>
            </w:r>
            <w:r>
              <w:rPr>
                <w:rFonts w:hint="eastAsia" w:ascii="Times New Roman" w:eastAsia="仿宋"/>
                <w:color w:val="auto"/>
                <w:sz w:val="21"/>
                <w:szCs w:val="21"/>
                <w:highlight w:val="none"/>
              </w:rPr>
              <w:t>设置</w:t>
            </w:r>
            <w:r>
              <w:rPr>
                <w:rFonts w:hint="eastAsia" w:ascii="Times New Roman" w:eastAsia="仿宋"/>
                <w:color w:val="auto"/>
                <w:sz w:val="21"/>
                <w:szCs w:val="21"/>
                <w:highlight w:val="none"/>
                <w:lang w:eastAsia="zh-CN"/>
              </w:rPr>
              <w:t>切换</w:t>
            </w:r>
            <w:r>
              <w:rPr>
                <w:rFonts w:hint="eastAsia" w:ascii="Times New Roman" w:eastAsia="仿宋"/>
                <w:color w:val="auto"/>
                <w:sz w:val="21"/>
                <w:szCs w:val="21"/>
                <w:highlight w:val="none"/>
              </w:rPr>
              <w:t>阀门，</w:t>
            </w:r>
            <w:r>
              <w:rPr>
                <w:rFonts w:ascii="Times New Roman" w:eastAsia="仿宋"/>
                <w:color w:val="auto"/>
                <w:sz w:val="21"/>
                <w:szCs w:val="21"/>
                <w:highlight w:val="none"/>
              </w:rPr>
              <w:t>受污染的雨水、清净下水、消防水和泄漏物进入</w:t>
            </w:r>
            <w:r>
              <w:rPr>
                <w:rFonts w:hint="eastAsia" w:ascii="Times New Roman" w:eastAsia="仿宋"/>
                <w:color w:val="auto"/>
                <w:sz w:val="21"/>
                <w:szCs w:val="21"/>
                <w:highlight w:val="none"/>
              </w:rPr>
              <w:t>初期雨水池</w:t>
            </w:r>
          </w:p>
        </w:tc>
        <w:tc>
          <w:tcPr>
            <w:tcW w:w="642"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vAlign w:val="center"/>
          </w:tcPr>
          <w:p>
            <w:pPr>
              <w:pStyle w:val="8"/>
              <w:spacing w:line="240" w:lineRule="auto"/>
              <w:ind w:firstLine="0" w:firstLineChars="0"/>
              <w:jc w:val="center"/>
              <w:rPr>
                <w:rFonts w:ascii="Times New Roman" w:eastAsia="仿宋"/>
                <w:color w:val="auto"/>
                <w:sz w:val="21"/>
                <w:szCs w:val="21"/>
              </w:rPr>
            </w:pPr>
          </w:p>
        </w:tc>
        <w:tc>
          <w:tcPr>
            <w:tcW w:w="7946" w:type="dxa"/>
            <w:vAlign w:val="center"/>
          </w:tcPr>
          <w:p>
            <w:pPr>
              <w:pStyle w:val="8"/>
              <w:spacing w:line="240" w:lineRule="auto"/>
              <w:ind w:firstLine="420"/>
              <w:rPr>
                <w:rFonts w:ascii="Times New Roman" w:eastAsia="仿宋"/>
                <w:color w:val="auto"/>
                <w:sz w:val="21"/>
                <w:szCs w:val="21"/>
              </w:rPr>
            </w:pPr>
            <w:r>
              <w:rPr>
                <w:rFonts w:ascii="Times New Roman" w:eastAsia="仿宋"/>
                <w:color w:val="auto"/>
                <w:sz w:val="21"/>
                <w:szCs w:val="21"/>
              </w:rPr>
              <w:t>涉及清净下水，有任意一个环境风险单元的清净下水系统防控措施但不符合上述2）要求的。</w:t>
            </w:r>
          </w:p>
        </w:tc>
        <w:tc>
          <w:tcPr>
            <w:tcW w:w="720"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8</w:t>
            </w:r>
          </w:p>
        </w:tc>
        <w:tc>
          <w:tcPr>
            <w:tcW w:w="3618" w:type="dxa"/>
            <w:vAlign w:val="center"/>
          </w:tcPr>
          <w:p>
            <w:pPr>
              <w:pStyle w:val="8"/>
              <w:spacing w:line="240" w:lineRule="auto"/>
              <w:ind w:firstLine="0" w:firstLineChars="0"/>
              <w:jc w:val="center"/>
              <w:rPr>
                <w:rFonts w:ascii="Times New Roman" w:eastAsia="仿宋"/>
                <w:color w:val="auto"/>
                <w:sz w:val="21"/>
                <w:szCs w:val="21"/>
                <w:highlight w:val="none"/>
              </w:rPr>
            </w:pPr>
            <w:r>
              <w:rPr>
                <w:rFonts w:hint="eastAsia" w:ascii="Times New Roman" w:eastAsia="仿宋"/>
                <w:color w:val="auto"/>
                <w:sz w:val="21"/>
                <w:szCs w:val="21"/>
                <w:highlight w:val="none"/>
              </w:rPr>
              <w:t>/</w:t>
            </w:r>
          </w:p>
        </w:tc>
        <w:tc>
          <w:tcPr>
            <w:tcW w:w="642" w:type="dxa"/>
            <w:vAlign w:val="center"/>
          </w:tcPr>
          <w:p>
            <w:pPr>
              <w:pStyle w:val="8"/>
              <w:spacing w:line="240" w:lineRule="auto"/>
              <w:ind w:firstLine="0" w:firstLineChars="0"/>
              <w:jc w:val="center"/>
              <w:rPr>
                <w:rFonts w:ascii="Times New Roman" w:eastAsia="仿宋"/>
                <w:color w:val="auto"/>
                <w:sz w:val="21"/>
                <w:szCs w:val="21"/>
              </w:rPr>
            </w:pPr>
            <w:r>
              <w:rPr>
                <w:rFonts w:hint="eastAsia" w:ascii="Times New Roman" w:eastAsia="仿宋"/>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restart"/>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雨排水系统防控措施</w:t>
            </w:r>
          </w:p>
        </w:tc>
        <w:tc>
          <w:tcPr>
            <w:tcW w:w="7946" w:type="dxa"/>
            <w:vAlign w:val="center"/>
          </w:tcPr>
          <w:p>
            <w:pPr>
              <w:pStyle w:val="8"/>
              <w:spacing w:line="240" w:lineRule="auto"/>
              <w:ind w:firstLine="420"/>
              <w:rPr>
                <w:rFonts w:ascii="Times New Roman" w:eastAsia="仿宋"/>
                <w:color w:val="auto"/>
                <w:sz w:val="21"/>
                <w:szCs w:val="21"/>
              </w:rPr>
            </w:pPr>
            <w:r>
              <w:rPr>
                <w:rFonts w:ascii="Times New Roman" w:eastAsia="仿宋"/>
                <w:color w:val="auto"/>
                <w:sz w:val="21"/>
                <w:szCs w:val="21"/>
              </w:rPr>
              <w:t>厂区内雨水均进入废水处理系统；或雨污分流，且雨排水系统具有下述所有措施：</w:t>
            </w:r>
          </w:p>
          <w:p>
            <w:pPr>
              <w:pStyle w:val="8"/>
              <w:spacing w:line="240" w:lineRule="auto"/>
              <w:ind w:firstLine="420"/>
              <w:rPr>
                <w:rFonts w:ascii="Times New Roman" w:eastAsia="仿宋"/>
                <w:color w:val="auto"/>
                <w:sz w:val="21"/>
                <w:szCs w:val="21"/>
              </w:rPr>
            </w:pPr>
            <w:r>
              <w:rPr>
                <w:rFonts w:hint="eastAsia" w:ascii="宋体" w:hAnsi="宋体" w:eastAsia="宋体" w:cs="宋体"/>
                <w:color w:val="auto"/>
                <w:sz w:val="21"/>
                <w:szCs w:val="21"/>
              </w:rPr>
              <w:t>①</w:t>
            </w:r>
            <w:r>
              <w:rPr>
                <w:rFonts w:ascii="Times New Roman" w:eastAsia="仿宋"/>
                <w:color w:val="auto"/>
                <w:sz w:val="21"/>
                <w:szCs w:val="21"/>
              </w:rPr>
              <w:t>具有收集初期雨水的收集池或雨水监控池；池出水管上设置切断阀，正常情况下阀门关闭，防止受污染的水外排；池内设有提升设施，能将所集物送至厂区内污水处理设施处理；</w:t>
            </w:r>
          </w:p>
          <w:p>
            <w:pPr>
              <w:pStyle w:val="8"/>
              <w:spacing w:line="240" w:lineRule="auto"/>
              <w:ind w:firstLine="420"/>
              <w:rPr>
                <w:rFonts w:ascii="Times New Roman" w:eastAsia="仿宋"/>
                <w:color w:val="auto"/>
                <w:sz w:val="21"/>
                <w:szCs w:val="21"/>
              </w:rPr>
            </w:pPr>
            <w:r>
              <w:rPr>
                <w:rFonts w:hint="eastAsia" w:ascii="宋体" w:hAnsi="宋体" w:eastAsia="宋体" w:cs="宋体"/>
                <w:color w:val="auto"/>
                <w:sz w:val="21"/>
                <w:szCs w:val="21"/>
              </w:rPr>
              <w:t>②</w:t>
            </w:r>
            <w:r>
              <w:rPr>
                <w:rFonts w:ascii="Times New Roman" w:eastAsia="仿宋"/>
                <w:color w:val="auto"/>
                <w:sz w:val="21"/>
                <w:szCs w:val="21"/>
              </w:rPr>
              <w:t>具有雨水系统外排总排口（含泄洪渠）监视及关闭设施，有专人负责在紧急情况下关闭雨水排口（含与清净下水共用一套排水系统情况），防止雨水、消防水和泄漏物进入外环境；</w:t>
            </w:r>
          </w:p>
          <w:p>
            <w:pPr>
              <w:pStyle w:val="8"/>
              <w:spacing w:line="240" w:lineRule="auto"/>
              <w:ind w:firstLine="420"/>
              <w:rPr>
                <w:rFonts w:ascii="Times New Roman" w:eastAsia="仿宋"/>
                <w:color w:val="auto"/>
                <w:sz w:val="21"/>
                <w:szCs w:val="21"/>
              </w:rPr>
            </w:pPr>
            <w:r>
              <w:rPr>
                <w:rFonts w:hint="eastAsia" w:ascii="宋体" w:hAnsi="宋体" w:eastAsia="宋体" w:cs="宋体"/>
                <w:color w:val="auto"/>
                <w:sz w:val="21"/>
                <w:szCs w:val="21"/>
              </w:rPr>
              <w:t>③</w:t>
            </w:r>
            <w:r>
              <w:rPr>
                <w:rFonts w:ascii="Times New Roman" w:eastAsia="仿宋"/>
                <w:color w:val="auto"/>
                <w:sz w:val="21"/>
                <w:szCs w:val="21"/>
              </w:rPr>
              <w:t>如果有排洪沟，排洪沟不通过生产区和罐区，具有防止泄漏物和受污染的消防水流入区域排洪沟的措施。</w:t>
            </w:r>
          </w:p>
        </w:tc>
        <w:tc>
          <w:tcPr>
            <w:tcW w:w="720" w:type="dxa"/>
            <w:vAlign w:val="center"/>
          </w:tcPr>
          <w:p>
            <w:pPr>
              <w:pStyle w:val="8"/>
              <w:spacing w:line="240" w:lineRule="auto"/>
              <w:ind w:firstLine="0" w:firstLineChars="0"/>
              <w:jc w:val="center"/>
              <w:rPr>
                <w:rFonts w:ascii="Times New Roman" w:eastAsia="宋体"/>
                <w:color w:val="auto"/>
                <w:sz w:val="21"/>
                <w:szCs w:val="21"/>
              </w:rPr>
            </w:pPr>
            <w:r>
              <w:rPr>
                <w:rFonts w:ascii="Times New Roman" w:eastAsia="宋体"/>
                <w:color w:val="auto"/>
                <w:sz w:val="21"/>
                <w:szCs w:val="21"/>
              </w:rPr>
              <w:t>0</w:t>
            </w:r>
          </w:p>
        </w:tc>
        <w:tc>
          <w:tcPr>
            <w:tcW w:w="3618" w:type="dxa"/>
            <w:vAlign w:val="center"/>
          </w:tcPr>
          <w:p>
            <w:pPr>
              <w:pStyle w:val="8"/>
              <w:spacing w:line="240" w:lineRule="auto"/>
              <w:ind w:firstLine="0" w:firstLineChars="0"/>
              <w:rPr>
                <w:rFonts w:hint="eastAsia" w:ascii="Times New Roman" w:eastAsia="仿宋"/>
                <w:color w:val="auto"/>
                <w:sz w:val="21"/>
                <w:szCs w:val="21"/>
                <w:highlight w:val="none"/>
                <w:lang w:eastAsia="zh-CN"/>
              </w:rPr>
            </w:pPr>
            <w:r>
              <w:rPr>
                <w:rFonts w:ascii="Times New Roman" w:eastAsia="仿宋"/>
                <w:color w:val="auto"/>
                <w:sz w:val="21"/>
                <w:szCs w:val="21"/>
                <w:highlight w:val="none"/>
              </w:rPr>
              <w:t>雨污分流，初期雨水池，企业有专人负责在紧急情况下关闭雨水排口，防止事故排水进入外环境。</w:t>
            </w:r>
          </w:p>
        </w:tc>
        <w:tc>
          <w:tcPr>
            <w:tcW w:w="642" w:type="dxa"/>
            <w:vAlign w:val="center"/>
          </w:tcPr>
          <w:p>
            <w:pPr>
              <w:pStyle w:val="8"/>
              <w:spacing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vAlign w:val="center"/>
          </w:tcPr>
          <w:p>
            <w:pPr>
              <w:pStyle w:val="8"/>
              <w:spacing w:line="240" w:lineRule="auto"/>
              <w:ind w:firstLine="0" w:firstLineChars="0"/>
              <w:jc w:val="center"/>
              <w:rPr>
                <w:rFonts w:ascii="Times New Roman" w:eastAsia="仿宋"/>
                <w:color w:val="auto"/>
                <w:sz w:val="21"/>
                <w:szCs w:val="21"/>
              </w:rPr>
            </w:pPr>
          </w:p>
        </w:tc>
        <w:tc>
          <w:tcPr>
            <w:tcW w:w="7946"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不符合上述要求的</w:t>
            </w:r>
          </w:p>
        </w:tc>
        <w:tc>
          <w:tcPr>
            <w:tcW w:w="720"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8</w:t>
            </w:r>
          </w:p>
        </w:tc>
        <w:tc>
          <w:tcPr>
            <w:tcW w:w="3618" w:type="dxa"/>
            <w:vAlign w:val="center"/>
          </w:tcPr>
          <w:p>
            <w:pPr>
              <w:pStyle w:val="8"/>
              <w:spacing w:line="240" w:lineRule="auto"/>
              <w:ind w:firstLine="0" w:firstLineChars="0"/>
              <w:jc w:val="center"/>
              <w:rPr>
                <w:rFonts w:ascii="Times New Roman" w:eastAsia="仿宋"/>
                <w:color w:val="auto"/>
                <w:sz w:val="21"/>
                <w:szCs w:val="21"/>
                <w:highlight w:val="none"/>
              </w:rPr>
            </w:pPr>
            <w:r>
              <w:rPr>
                <w:rFonts w:ascii="Times New Roman" w:eastAsia="仿宋"/>
                <w:color w:val="auto"/>
                <w:sz w:val="21"/>
                <w:szCs w:val="21"/>
                <w:highlight w:val="none"/>
              </w:rPr>
              <w:t>/</w:t>
            </w:r>
          </w:p>
        </w:tc>
        <w:tc>
          <w:tcPr>
            <w:tcW w:w="642" w:type="dxa"/>
            <w:vAlign w:val="center"/>
          </w:tcPr>
          <w:p>
            <w:pPr>
              <w:pStyle w:val="8"/>
              <w:spacing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restart"/>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生产废水处理系统防控措施</w:t>
            </w:r>
          </w:p>
        </w:tc>
        <w:tc>
          <w:tcPr>
            <w:tcW w:w="7946" w:type="dxa"/>
            <w:vAlign w:val="center"/>
          </w:tcPr>
          <w:p>
            <w:pPr>
              <w:pStyle w:val="8"/>
              <w:spacing w:line="240" w:lineRule="auto"/>
              <w:ind w:firstLine="420"/>
              <w:rPr>
                <w:rFonts w:ascii="Times New Roman" w:eastAsia="仿宋"/>
                <w:color w:val="auto"/>
                <w:sz w:val="21"/>
                <w:szCs w:val="21"/>
              </w:rPr>
            </w:pPr>
            <w:r>
              <w:rPr>
                <w:rFonts w:ascii="Times New Roman" w:eastAsia="仿宋"/>
                <w:color w:val="auto"/>
                <w:sz w:val="21"/>
                <w:szCs w:val="21"/>
              </w:rPr>
              <w:t>1）无生产废水产生或外排；或2）有废水产生或外排时：</w:t>
            </w:r>
          </w:p>
          <w:p>
            <w:pPr>
              <w:pStyle w:val="8"/>
              <w:spacing w:line="240" w:lineRule="auto"/>
              <w:ind w:firstLine="420"/>
              <w:rPr>
                <w:rFonts w:ascii="Times New Roman" w:eastAsia="仿宋"/>
                <w:color w:val="auto"/>
                <w:sz w:val="21"/>
                <w:szCs w:val="21"/>
              </w:rPr>
            </w:pPr>
            <w:r>
              <w:rPr>
                <w:rFonts w:hint="eastAsia" w:ascii="宋体" w:hAnsi="宋体" w:eastAsia="宋体" w:cs="宋体"/>
                <w:color w:val="auto"/>
                <w:sz w:val="21"/>
                <w:szCs w:val="21"/>
              </w:rPr>
              <w:t>①</w:t>
            </w:r>
            <w:r>
              <w:rPr>
                <w:rFonts w:ascii="Times New Roman" w:eastAsia="仿宋"/>
                <w:color w:val="auto"/>
                <w:sz w:val="21"/>
                <w:szCs w:val="21"/>
              </w:rPr>
              <w:t>受污染的循环冷却水、雨水、消防水等排入生产污水系统或独立处理系统；</w:t>
            </w:r>
          </w:p>
          <w:p>
            <w:pPr>
              <w:pStyle w:val="8"/>
              <w:spacing w:line="240" w:lineRule="auto"/>
              <w:ind w:firstLine="420"/>
              <w:rPr>
                <w:rFonts w:ascii="Times New Roman" w:eastAsia="仿宋"/>
                <w:color w:val="auto"/>
                <w:sz w:val="21"/>
                <w:szCs w:val="21"/>
              </w:rPr>
            </w:pPr>
            <w:r>
              <w:rPr>
                <w:rFonts w:hint="eastAsia" w:ascii="宋体" w:hAnsi="宋体" w:eastAsia="宋体" w:cs="宋体"/>
                <w:color w:val="auto"/>
                <w:sz w:val="21"/>
                <w:szCs w:val="21"/>
              </w:rPr>
              <w:t>②</w:t>
            </w:r>
            <w:r>
              <w:rPr>
                <w:rFonts w:ascii="Times New Roman" w:eastAsia="仿宋"/>
                <w:color w:val="auto"/>
                <w:sz w:val="21"/>
                <w:szCs w:val="21"/>
              </w:rPr>
              <w:t>生产废水排放前设监控池，能够将不合格废水送废水处理设施重新处理；</w:t>
            </w:r>
          </w:p>
          <w:p>
            <w:pPr>
              <w:pStyle w:val="8"/>
              <w:spacing w:line="240" w:lineRule="auto"/>
              <w:ind w:firstLine="420"/>
              <w:rPr>
                <w:rFonts w:ascii="Times New Roman" w:eastAsia="仿宋"/>
                <w:color w:val="auto"/>
                <w:sz w:val="21"/>
                <w:szCs w:val="21"/>
              </w:rPr>
            </w:pPr>
            <w:r>
              <w:rPr>
                <w:rFonts w:hint="eastAsia" w:ascii="宋体" w:hAnsi="宋体" w:eastAsia="宋体" w:cs="宋体"/>
                <w:color w:val="auto"/>
                <w:sz w:val="21"/>
                <w:szCs w:val="21"/>
              </w:rPr>
              <w:t>③</w:t>
            </w:r>
            <w:r>
              <w:rPr>
                <w:rFonts w:ascii="Times New Roman" w:eastAsia="仿宋"/>
                <w:color w:val="auto"/>
                <w:sz w:val="21"/>
                <w:szCs w:val="21"/>
              </w:rPr>
              <w:t>如企业受污染的清净下水或雨水进入废水处理系统处理，则废水处理系统应设置事故水缓冲设施；</w:t>
            </w:r>
          </w:p>
          <w:p>
            <w:pPr>
              <w:pStyle w:val="8"/>
              <w:spacing w:line="240" w:lineRule="auto"/>
              <w:ind w:firstLine="420"/>
              <w:rPr>
                <w:rFonts w:ascii="Times New Roman" w:eastAsia="仿宋"/>
                <w:color w:val="auto"/>
                <w:sz w:val="21"/>
                <w:szCs w:val="21"/>
              </w:rPr>
            </w:pPr>
            <w:r>
              <w:rPr>
                <w:rFonts w:hint="eastAsia" w:ascii="宋体" w:hAnsi="宋体" w:eastAsia="宋体" w:cs="宋体"/>
                <w:color w:val="auto"/>
                <w:sz w:val="21"/>
                <w:szCs w:val="21"/>
              </w:rPr>
              <w:t>④</w:t>
            </w:r>
            <w:r>
              <w:rPr>
                <w:rFonts w:ascii="Times New Roman" w:eastAsia="仿宋"/>
                <w:color w:val="auto"/>
                <w:sz w:val="21"/>
                <w:szCs w:val="21"/>
              </w:rPr>
              <w:t>具有生产废水总排口监视及关闭设施，有专人负责启闭，确保泄漏物、受污染的消防水、不合格废水不排出厂外。</w:t>
            </w:r>
          </w:p>
        </w:tc>
        <w:tc>
          <w:tcPr>
            <w:tcW w:w="720"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0</w:t>
            </w:r>
          </w:p>
        </w:tc>
        <w:tc>
          <w:tcPr>
            <w:tcW w:w="3618" w:type="dxa"/>
            <w:vAlign w:val="center"/>
          </w:tcPr>
          <w:p>
            <w:pPr>
              <w:pStyle w:val="8"/>
              <w:spacing w:line="240" w:lineRule="auto"/>
              <w:ind w:firstLine="0" w:firstLineChars="0"/>
              <w:rPr>
                <w:rFonts w:ascii="Times New Roman" w:eastAsia="仿宋"/>
                <w:color w:val="auto"/>
                <w:sz w:val="21"/>
                <w:szCs w:val="21"/>
                <w:highlight w:val="none"/>
              </w:rPr>
            </w:pPr>
            <w:r>
              <w:rPr>
                <w:rFonts w:ascii="Times New Roman" w:hAnsi="仿宋" w:eastAsia="仿宋"/>
                <w:color w:val="auto"/>
                <w:sz w:val="21"/>
                <w:szCs w:val="21"/>
                <w:highlight w:val="none"/>
              </w:rPr>
              <w:t>企业</w:t>
            </w:r>
            <w:r>
              <w:rPr>
                <w:rFonts w:ascii="Times New Roman" w:eastAsia="仿宋"/>
                <w:color w:val="auto"/>
                <w:sz w:val="21"/>
                <w:szCs w:val="21"/>
                <w:highlight w:val="none"/>
              </w:rPr>
              <w:t>1200m</w:t>
            </w:r>
            <w:r>
              <w:rPr>
                <w:rFonts w:ascii="Times New Roman" w:eastAsia="仿宋"/>
                <w:color w:val="auto"/>
                <w:sz w:val="21"/>
                <w:szCs w:val="21"/>
                <w:highlight w:val="none"/>
                <w:vertAlign w:val="superscript"/>
              </w:rPr>
              <w:t>3</w:t>
            </w:r>
            <w:r>
              <w:rPr>
                <w:rFonts w:ascii="Times New Roman" w:hAnsi="仿宋" w:eastAsia="仿宋"/>
                <w:color w:val="auto"/>
                <w:sz w:val="21"/>
                <w:szCs w:val="21"/>
                <w:highlight w:val="none"/>
              </w:rPr>
              <w:t>的事故池和</w:t>
            </w:r>
            <w:r>
              <w:rPr>
                <w:rFonts w:hint="eastAsia" w:ascii="Times New Roman" w:hAnsi="仿宋" w:eastAsia="仿宋"/>
                <w:color w:val="auto"/>
                <w:sz w:val="21"/>
                <w:szCs w:val="21"/>
                <w:highlight w:val="none"/>
                <w:lang w:val="en-US" w:eastAsia="zh-CN"/>
              </w:rPr>
              <w:t>200m</w:t>
            </w:r>
            <w:r>
              <w:rPr>
                <w:rFonts w:hint="eastAsia" w:ascii="Times New Roman" w:hAnsi="仿宋" w:eastAsia="仿宋"/>
                <w:color w:val="auto"/>
                <w:sz w:val="21"/>
                <w:szCs w:val="21"/>
                <w:highlight w:val="none"/>
                <w:vertAlign w:val="superscript"/>
                <w:lang w:val="en-US" w:eastAsia="zh-CN"/>
              </w:rPr>
              <w:t>3</w:t>
            </w:r>
            <w:r>
              <w:rPr>
                <w:rFonts w:ascii="Times New Roman" w:hAnsi="仿宋" w:eastAsia="仿宋"/>
                <w:color w:val="auto"/>
                <w:sz w:val="21"/>
                <w:szCs w:val="21"/>
                <w:highlight w:val="none"/>
              </w:rPr>
              <w:t>初期雨水池，可满足事故废水收集，然后送入厂污水处理系统处理。生产废水总排口有关闭设施，有专人负责启闭，可以保证受污染的循环冷却水、雨水、消防水和不合格废水不排出厂外。</w:t>
            </w:r>
          </w:p>
        </w:tc>
        <w:tc>
          <w:tcPr>
            <w:tcW w:w="642" w:type="dxa"/>
            <w:vAlign w:val="center"/>
          </w:tcPr>
          <w:p>
            <w:pPr>
              <w:pStyle w:val="8"/>
              <w:spacing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vAlign w:val="center"/>
          </w:tcPr>
          <w:p>
            <w:pPr>
              <w:pStyle w:val="8"/>
              <w:spacing w:line="240" w:lineRule="auto"/>
              <w:ind w:firstLine="0" w:firstLineChars="0"/>
              <w:jc w:val="center"/>
              <w:rPr>
                <w:rFonts w:ascii="Times New Roman" w:eastAsia="仿宋"/>
                <w:color w:val="auto"/>
                <w:sz w:val="21"/>
                <w:szCs w:val="21"/>
              </w:rPr>
            </w:pPr>
          </w:p>
        </w:tc>
        <w:tc>
          <w:tcPr>
            <w:tcW w:w="7946" w:type="dxa"/>
            <w:vAlign w:val="center"/>
          </w:tcPr>
          <w:p>
            <w:pPr>
              <w:pStyle w:val="8"/>
              <w:spacing w:line="240" w:lineRule="auto"/>
              <w:ind w:firstLine="420"/>
              <w:rPr>
                <w:rFonts w:ascii="Times New Roman" w:eastAsia="仿宋"/>
                <w:color w:val="auto"/>
                <w:sz w:val="21"/>
                <w:szCs w:val="21"/>
              </w:rPr>
            </w:pPr>
            <w:r>
              <w:rPr>
                <w:rFonts w:ascii="Times New Roman" w:eastAsia="仿宋"/>
                <w:color w:val="auto"/>
                <w:sz w:val="21"/>
                <w:szCs w:val="21"/>
              </w:rPr>
              <w:t>涉及废水产生或外排，但不符合上述 2）中任意一条要求的。</w:t>
            </w:r>
          </w:p>
        </w:tc>
        <w:tc>
          <w:tcPr>
            <w:tcW w:w="720" w:type="dxa"/>
            <w:vAlign w:val="center"/>
          </w:tcPr>
          <w:p>
            <w:pPr>
              <w:pStyle w:val="8"/>
              <w:spacing w:line="240" w:lineRule="auto"/>
              <w:ind w:firstLine="0" w:firstLineChars="0"/>
              <w:jc w:val="center"/>
              <w:rPr>
                <w:rFonts w:ascii="Times New Roman" w:eastAsia="宋体"/>
                <w:color w:val="auto"/>
                <w:sz w:val="21"/>
                <w:szCs w:val="21"/>
              </w:rPr>
            </w:pPr>
            <w:r>
              <w:rPr>
                <w:rFonts w:ascii="Times New Roman" w:eastAsia="宋体"/>
                <w:color w:val="auto"/>
                <w:sz w:val="21"/>
                <w:szCs w:val="21"/>
              </w:rPr>
              <w:t>8</w:t>
            </w:r>
          </w:p>
        </w:tc>
        <w:tc>
          <w:tcPr>
            <w:tcW w:w="3618" w:type="dxa"/>
            <w:vAlign w:val="center"/>
          </w:tcPr>
          <w:p>
            <w:pPr>
              <w:pStyle w:val="8"/>
              <w:spacing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p>
        </w:tc>
        <w:tc>
          <w:tcPr>
            <w:tcW w:w="642" w:type="dxa"/>
            <w:vAlign w:val="center"/>
          </w:tcPr>
          <w:p>
            <w:pPr>
              <w:pStyle w:val="8"/>
              <w:spacing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restart"/>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毒性气体泄漏紧急处置装置</w:t>
            </w:r>
          </w:p>
        </w:tc>
        <w:tc>
          <w:tcPr>
            <w:tcW w:w="7946" w:type="dxa"/>
            <w:vAlign w:val="center"/>
          </w:tcPr>
          <w:p>
            <w:pPr>
              <w:pStyle w:val="8"/>
              <w:spacing w:line="240" w:lineRule="auto"/>
              <w:ind w:firstLine="420"/>
              <w:rPr>
                <w:rFonts w:ascii="Times New Roman" w:eastAsia="仿宋"/>
                <w:color w:val="auto"/>
                <w:sz w:val="21"/>
                <w:szCs w:val="21"/>
              </w:rPr>
            </w:pPr>
            <w:r>
              <w:rPr>
                <w:rFonts w:ascii="Times New Roman" w:eastAsia="仿宋"/>
                <w:color w:val="auto"/>
                <w:sz w:val="21"/>
                <w:szCs w:val="21"/>
              </w:rPr>
              <w:t>1）不涉及有毒有害气体的；</w:t>
            </w:r>
          </w:p>
          <w:p>
            <w:pPr>
              <w:pStyle w:val="8"/>
              <w:spacing w:line="240" w:lineRule="auto"/>
              <w:ind w:firstLine="420"/>
              <w:rPr>
                <w:rFonts w:ascii="Times New Roman" w:eastAsia="仿宋"/>
                <w:color w:val="auto"/>
                <w:sz w:val="21"/>
                <w:szCs w:val="21"/>
              </w:rPr>
            </w:pPr>
            <w:r>
              <w:rPr>
                <w:rFonts w:ascii="Times New Roman" w:eastAsia="仿宋"/>
                <w:color w:val="auto"/>
                <w:sz w:val="21"/>
                <w:szCs w:val="21"/>
              </w:rPr>
              <w:t>2）根据实际情况，具有针对有毒有害气体（如硫化氢、氰化氢、氯化氢、光气、氯气、氨气、苯等）的泄漏紧急处置措施。</w:t>
            </w:r>
          </w:p>
        </w:tc>
        <w:tc>
          <w:tcPr>
            <w:tcW w:w="720" w:type="dxa"/>
            <w:vAlign w:val="center"/>
          </w:tcPr>
          <w:p>
            <w:pPr>
              <w:pStyle w:val="8"/>
              <w:spacing w:line="240" w:lineRule="auto"/>
              <w:ind w:firstLine="0" w:firstLineChars="0"/>
              <w:jc w:val="center"/>
              <w:rPr>
                <w:rFonts w:ascii="Times New Roman" w:eastAsia="宋体"/>
                <w:color w:val="auto"/>
                <w:sz w:val="21"/>
                <w:szCs w:val="21"/>
              </w:rPr>
            </w:pPr>
            <w:r>
              <w:rPr>
                <w:rFonts w:ascii="Times New Roman" w:eastAsia="宋体"/>
                <w:color w:val="auto"/>
                <w:sz w:val="21"/>
                <w:szCs w:val="21"/>
              </w:rPr>
              <w:t>0</w:t>
            </w:r>
          </w:p>
        </w:tc>
        <w:tc>
          <w:tcPr>
            <w:tcW w:w="3618" w:type="dxa"/>
            <w:vAlign w:val="center"/>
          </w:tcPr>
          <w:p>
            <w:pPr>
              <w:pStyle w:val="8"/>
              <w:spacing w:line="240" w:lineRule="auto"/>
              <w:ind w:firstLine="0" w:firstLineChars="0"/>
              <w:jc w:val="center"/>
              <w:rPr>
                <w:rFonts w:hint="eastAsia" w:ascii="Times New Roman" w:hAnsi="仿宋" w:eastAsia="仿宋"/>
                <w:color w:val="auto"/>
                <w:sz w:val="21"/>
                <w:szCs w:val="21"/>
                <w:highlight w:val="none"/>
              </w:rPr>
            </w:pPr>
            <w:r>
              <w:rPr>
                <w:rFonts w:hint="eastAsia" w:ascii="Times New Roman" w:hAnsi="仿宋" w:eastAsia="仿宋"/>
                <w:color w:val="auto"/>
                <w:sz w:val="21"/>
                <w:szCs w:val="21"/>
                <w:highlight w:val="none"/>
              </w:rPr>
              <w:t>企业不涉及有毒有害气体</w:t>
            </w:r>
          </w:p>
        </w:tc>
        <w:tc>
          <w:tcPr>
            <w:tcW w:w="642" w:type="dxa"/>
            <w:vAlign w:val="center"/>
          </w:tcPr>
          <w:p>
            <w:pPr>
              <w:pStyle w:val="8"/>
              <w:spacing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250" w:type="dxa"/>
            <w:vMerge w:val="continue"/>
            <w:vAlign w:val="center"/>
          </w:tcPr>
          <w:p>
            <w:pPr>
              <w:pStyle w:val="8"/>
              <w:spacing w:line="240" w:lineRule="auto"/>
              <w:ind w:firstLine="0" w:firstLineChars="0"/>
              <w:jc w:val="center"/>
              <w:rPr>
                <w:rFonts w:ascii="Times New Roman" w:eastAsia="仿宋"/>
                <w:color w:val="auto"/>
                <w:sz w:val="21"/>
                <w:szCs w:val="21"/>
              </w:rPr>
            </w:pPr>
          </w:p>
        </w:tc>
        <w:tc>
          <w:tcPr>
            <w:tcW w:w="7946" w:type="dxa"/>
            <w:vAlign w:val="center"/>
          </w:tcPr>
          <w:p>
            <w:pPr>
              <w:pStyle w:val="8"/>
              <w:spacing w:line="240" w:lineRule="auto"/>
              <w:ind w:firstLine="420"/>
              <w:rPr>
                <w:rFonts w:ascii="Times New Roman" w:eastAsia="仿宋"/>
                <w:color w:val="auto"/>
                <w:sz w:val="21"/>
                <w:szCs w:val="21"/>
              </w:rPr>
            </w:pPr>
            <w:r>
              <w:rPr>
                <w:rFonts w:ascii="Times New Roman" w:eastAsia="仿宋"/>
                <w:color w:val="auto"/>
                <w:sz w:val="21"/>
                <w:szCs w:val="21"/>
              </w:rPr>
              <w:t>不具备有毒有害气体泄漏紧急处置装置的。</w:t>
            </w:r>
          </w:p>
        </w:tc>
        <w:tc>
          <w:tcPr>
            <w:tcW w:w="720" w:type="dxa"/>
            <w:vAlign w:val="center"/>
          </w:tcPr>
          <w:p>
            <w:pPr>
              <w:pStyle w:val="8"/>
              <w:spacing w:line="240" w:lineRule="auto"/>
              <w:ind w:firstLine="0" w:firstLineChars="0"/>
              <w:jc w:val="center"/>
              <w:rPr>
                <w:rFonts w:ascii="Times New Roman" w:eastAsia="宋体"/>
                <w:color w:val="auto"/>
                <w:sz w:val="21"/>
                <w:szCs w:val="21"/>
              </w:rPr>
            </w:pPr>
            <w:r>
              <w:rPr>
                <w:rFonts w:ascii="Times New Roman" w:eastAsia="宋体"/>
                <w:color w:val="auto"/>
                <w:sz w:val="21"/>
                <w:szCs w:val="21"/>
              </w:rPr>
              <w:t>8</w:t>
            </w:r>
          </w:p>
        </w:tc>
        <w:tc>
          <w:tcPr>
            <w:tcW w:w="3618" w:type="dxa"/>
            <w:vAlign w:val="center"/>
          </w:tcPr>
          <w:p>
            <w:pPr>
              <w:pStyle w:val="8"/>
              <w:spacing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p>
        </w:tc>
        <w:tc>
          <w:tcPr>
            <w:tcW w:w="642" w:type="dxa"/>
            <w:vAlign w:val="center"/>
          </w:tcPr>
          <w:p>
            <w:pPr>
              <w:pStyle w:val="8"/>
              <w:spacing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250" w:type="dxa"/>
            <w:vMerge w:val="restart"/>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环评及批复的其他风险防控措施落实情况</w:t>
            </w:r>
          </w:p>
        </w:tc>
        <w:tc>
          <w:tcPr>
            <w:tcW w:w="7946" w:type="dxa"/>
            <w:vAlign w:val="center"/>
          </w:tcPr>
          <w:p>
            <w:pPr>
              <w:pStyle w:val="8"/>
              <w:spacing w:line="240" w:lineRule="auto"/>
              <w:ind w:firstLine="420"/>
              <w:rPr>
                <w:rFonts w:ascii="Times New Roman" w:eastAsia="仿宋"/>
                <w:color w:val="auto"/>
                <w:sz w:val="21"/>
                <w:szCs w:val="21"/>
              </w:rPr>
            </w:pPr>
            <w:r>
              <w:rPr>
                <w:rFonts w:ascii="Times New Roman" w:eastAsia="仿宋"/>
                <w:color w:val="auto"/>
                <w:sz w:val="21"/>
                <w:szCs w:val="21"/>
              </w:rPr>
              <w:t>按环评及批复文件的要求落实其他建设环境风险防控设施的。</w:t>
            </w:r>
          </w:p>
        </w:tc>
        <w:tc>
          <w:tcPr>
            <w:tcW w:w="720" w:type="dxa"/>
            <w:vAlign w:val="center"/>
          </w:tcPr>
          <w:p>
            <w:pPr>
              <w:pStyle w:val="8"/>
              <w:spacing w:line="240" w:lineRule="auto"/>
              <w:ind w:firstLine="0" w:firstLineChars="0"/>
              <w:jc w:val="center"/>
              <w:rPr>
                <w:rFonts w:ascii="Times New Roman" w:eastAsia="宋体"/>
                <w:color w:val="auto"/>
                <w:sz w:val="21"/>
                <w:szCs w:val="21"/>
              </w:rPr>
            </w:pPr>
            <w:r>
              <w:rPr>
                <w:rFonts w:ascii="Times New Roman" w:eastAsia="宋体"/>
                <w:color w:val="auto"/>
                <w:sz w:val="21"/>
                <w:szCs w:val="21"/>
              </w:rPr>
              <w:t>0</w:t>
            </w:r>
          </w:p>
        </w:tc>
        <w:tc>
          <w:tcPr>
            <w:tcW w:w="3618" w:type="dxa"/>
            <w:vAlign w:val="center"/>
          </w:tcPr>
          <w:p>
            <w:pPr>
              <w:pStyle w:val="8"/>
              <w:spacing w:line="240" w:lineRule="auto"/>
              <w:ind w:firstLine="0" w:firstLineChars="0"/>
              <w:jc w:val="center"/>
              <w:rPr>
                <w:rFonts w:ascii="Times New Roman" w:eastAsia="宋体"/>
                <w:color w:val="auto"/>
                <w:sz w:val="21"/>
                <w:szCs w:val="21"/>
                <w:highlight w:val="none"/>
              </w:rPr>
            </w:pPr>
            <w:r>
              <w:rPr>
                <w:rFonts w:ascii="Times New Roman" w:eastAsia="仿宋"/>
                <w:color w:val="auto"/>
                <w:sz w:val="21"/>
                <w:szCs w:val="21"/>
                <w:highlight w:val="none"/>
              </w:rPr>
              <w:t>按环评及批复文件落实了废水处理措施，各工序废气经管道收集后（其中灌装工序废气经集气罩收集）后采用一级纯水洗+一级碱洗+除雾干燥+活性炭吸附装置处理，处理效率达 90%，处理后由17m高排气筒排放</w:t>
            </w:r>
            <w:r>
              <w:rPr>
                <w:rFonts w:ascii="Times New Roman" w:eastAsia="宋体"/>
                <w:color w:val="auto"/>
                <w:sz w:val="21"/>
                <w:szCs w:val="21"/>
                <w:highlight w:val="none"/>
              </w:rPr>
              <w:t>。</w:t>
            </w:r>
          </w:p>
        </w:tc>
        <w:tc>
          <w:tcPr>
            <w:tcW w:w="642" w:type="dxa"/>
            <w:vAlign w:val="center"/>
          </w:tcPr>
          <w:p>
            <w:pPr>
              <w:pStyle w:val="8"/>
              <w:spacing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250" w:type="dxa"/>
            <w:vMerge w:val="continue"/>
            <w:vAlign w:val="center"/>
          </w:tcPr>
          <w:p>
            <w:pPr>
              <w:pStyle w:val="8"/>
              <w:spacing w:line="240" w:lineRule="auto"/>
              <w:ind w:firstLine="0" w:firstLineChars="0"/>
              <w:jc w:val="center"/>
              <w:rPr>
                <w:rFonts w:hint="eastAsia" w:ascii="宋体" w:hAnsi="宋体" w:eastAsia="宋体"/>
                <w:color w:val="auto"/>
                <w:sz w:val="21"/>
                <w:szCs w:val="21"/>
              </w:rPr>
            </w:pPr>
          </w:p>
        </w:tc>
        <w:tc>
          <w:tcPr>
            <w:tcW w:w="7946" w:type="dxa"/>
            <w:vAlign w:val="center"/>
          </w:tcPr>
          <w:p>
            <w:pPr>
              <w:pStyle w:val="8"/>
              <w:spacing w:line="240" w:lineRule="auto"/>
              <w:ind w:firstLine="420"/>
              <w:rPr>
                <w:rFonts w:hint="eastAsia" w:ascii="仿宋" w:hAnsi="仿宋" w:eastAsia="仿宋"/>
                <w:color w:val="auto"/>
                <w:sz w:val="21"/>
                <w:szCs w:val="21"/>
              </w:rPr>
            </w:pPr>
            <w:r>
              <w:rPr>
                <w:rFonts w:hint="eastAsia" w:ascii="仿宋" w:hAnsi="仿宋" w:eastAsia="仿宋"/>
                <w:color w:val="auto"/>
                <w:sz w:val="21"/>
                <w:szCs w:val="21"/>
              </w:rPr>
              <w:t>未落实环评及批复文件中其他环境风险防控设施要求的。</w:t>
            </w:r>
          </w:p>
        </w:tc>
        <w:tc>
          <w:tcPr>
            <w:tcW w:w="720" w:type="dxa"/>
            <w:vAlign w:val="center"/>
          </w:tcPr>
          <w:p>
            <w:pPr>
              <w:pStyle w:val="8"/>
              <w:spacing w:line="240" w:lineRule="auto"/>
              <w:ind w:firstLine="0" w:firstLineChars="0"/>
              <w:jc w:val="center"/>
              <w:rPr>
                <w:rFonts w:ascii="Times New Roman" w:eastAsia="宋体"/>
                <w:color w:val="auto"/>
                <w:sz w:val="21"/>
                <w:szCs w:val="21"/>
              </w:rPr>
            </w:pPr>
            <w:r>
              <w:rPr>
                <w:rFonts w:ascii="Times New Roman" w:eastAsia="宋体"/>
                <w:color w:val="auto"/>
                <w:sz w:val="21"/>
                <w:szCs w:val="21"/>
              </w:rPr>
              <w:t>10</w:t>
            </w:r>
          </w:p>
        </w:tc>
        <w:tc>
          <w:tcPr>
            <w:tcW w:w="3618" w:type="dxa"/>
            <w:vAlign w:val="center"/>
          </w:tcPr>
          <w:p>
            <w:pPr>
              <w:pStyle w:val="8"/>
              <w:spacing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p>
        </w:tc>
        <w:tc>
          <w:tcPr>
            <w:tcW w:w="642" w:type="dxa"/>
            <w:vAlign w:val="center"/>
          </w:tcPr>
          <w:p>
            <w:pPr>
              <w:pStyle w:val="8"/>
              <w:spacing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w:t>
            </w:r>
          </w:p>
        </w:tc>
      </w:tr>
    </w:tbl>
    <w:p>
      <w:pPr>
        <w:pStyle w:val="8"/>
        <w:spacing w:line="500" w:lineRule="exact"/>
        <w:ind w:firstLine="560"/>
        <w:rPr>
          <w:rFonts w:ascii="Times New Roman" w:eastAsia="仿宋"/>
          <w:color w:val="auto"/>
        </w:rPr>
        <w:sectPr>
          <w:pgSz w:w="16838" w:h="11906" w:orient="landscape"/>
          <w:pgMar w:top="1633" w:right="1440" w:bottom="1519"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8"/>
        <w:widowControl w:val="0"/>
        <w:wordWrap/>
        <w:adjustRightInd w:val="0"/>
        <w:snapToGrid w:val="0"/>
        <w:spacing w:beforeAutospacing="0" w:line="360" w:lineRule="auto"/>
        <w:ind w:firstLine="560"/>
        <w:textAlignment w:val="auto"/>
        <w:rPr>
          <w:rFonts w:hint="eastAsia" w:ascii="Times New Roman" w:hAnsi="Times New Roman" w:eastAsia="仿宋" w:cs="Times New Roman"/>
          <w:color w:val="auto"/>
          <w:szCs w:val="28"/>
          <w:lang w:eastAsia="zh-CN"/>
        </w:rPr>
      </w:pPr>
      <w:r>
        <w:rPr>
          <w:rFonts w:hint="default" w:ascii="Times New Roman" w:hAnsi="Times New Roman" w:eastAsia="仿宋" w:cs="Times New Roman"/>
          <w:color w:val="auto"/>
          <w:szCs w:val="28"/>
        </w:rPr>
        <w:t>由表3.6-1对比结果可知，企业在事故池与雨水管道的切换系统完备，与《企业突发环境事件风险评估指南（试行）》中规定的</w:t>
      </w:r>
      <w:r>
        <w:rPr>
          <w:rFonts w:hint="eastAsia" w:ascii="Times New Roman" w:hAnsi="Times New Roman" w:eastAsia="仿宋" w:cs="Times New Roman"/>
          <w:color w:val="auto"/>
          <w:szCs w:val="28"/>
          <w:lang w:eastAsia="zh-CN"/>
        </w:rPr>
        <w:t>“</w:t>
      </w:r>
      <w:r>
        <w:rPr>
          <w:rFonts w:hint="default" w:ascii="Times New Roman" w:hAnsi="Times New Roman" w:eastAsia="仿宋" w:cs="Times New Roman"/>
          <w:color w:val="auto"/>
          <w:szCs w:val="28"/>
        </w:rPr>
        <w:t>环境风险防控与应急措施</w:t>
      </w:r>
      <w:r>
        <w:rPr>
          <w:rFonts w:hint="eastAsia" w:ascii="Times New Roman" w:hAnsi="Times New Roman" w:eastAsia="仿宋" w:cs="Times New Roman"/>
          <w:color w:val="auto"/>
          <w:szCs w:val="28"/>
          <w:lang w:eastAsia="zh-CN"/>
        </w:rPr>
        <w:t>”</w:t>
      </w:r>
      <w:r>
        <w:rPr>
          <w:rFonts w:hint="default" w:ascii="Times New Roman" w:hAnsi="Times New Roman" w:eastAsia="仿宋" w:cs="Times New Roman"/>
          <w:color w:val="auto"/>
          <w:szCs w:val="28"/>
        </w:rPr>
        <w:t>相符</w:t>
      </w:r>
      <w:r>
        <w:rPr>
          <w:rFonts w:hint="eastAsia" w:ascii="Times New Roman" w:hAnsi="Times New Roman" w:eastAsia="仿宋" w:cs="Times New Roman"/>
          <w:color w:val="auto"/>
          <w:szCs w:val="28"/>
          <w:lang w:eastAsia="zh-CN"/>
        </w:rPr>
        <w:t>。</w:t>
      </w:r>
    </w:p>
    <w:p>
      <w:pPr>
        <w:pStyle w:val="5"/>
        <w:keepNext/>
        <w:keepLines/>
        <w:widowControl w:val="0"/>
        <w:wordWrap/>
        <w:adjustRightInd w:val="0"/>
        <w:snapToGrid w:val="0"/>
        <w:spacing w:before="0" w:beforeAutospacing="0" w:line="360" w:lineRule="auto"/>
        <w:ind w:left="0"/>
        <w:jc w:val="both"/>
        <w:textAlignment w:val="auto"/>
        <w:rPr>
          <w:rFonts w:ascii="Times New Roman"/>
          <w:b/>
          <w:bCs/>
          <w:color w:val="auto"/>
          <w:sz w:val="30"/>
          <w:szCs w:val="30"/>
        </w:rPr>
      </w:pPr>
      <w:bookmarkStart w:id="62" w:name="_Toc25251"/>
      <w:bookmarkStart w:id="63" w:name="_Toc516436375"/>
      <w:r>
        <w:rPr>
          <w:rFonts w:ascii="Times New Roman"/>
          <w:b/>
          <w:bCs/>
          <w:color w:val="auto"/>
          <w:sz w:val="30"/>
          <w:szCs w:val="30"/>
        </w:rPr>
        <w:t>3.</w:t>
      </w:r>
      <w:r>
        <w:rPr>
          <w:rFonts w:hint="eastAsia" w:ascii="Times New Roman"/>
          <w:b/>
          <w:bCs/>
          <w:color w:val="auto"/>
          <w:sz w:val="30"/>
          <w:szCs w:val="30"/>
          <w:lang w:val="en-US" w:eastAsia="zh-CN"/>
        </w:rPr>
        <w:t>8</w:t>
      </w:r>
      <w:r>
        <w:rPr>
          <w:rFonts w:hint="eastAsia" w:ascii="Times New Roman"/>
          <w:b/>
          <w:bCs/>
          <w:color w:val="auto"/>
          <w:sz w:val="30"/>
          <w:szCs w:val="30"/>
          <w:lang w:eastAsia="zh-CN"/>
        </w:rPr>
        <w:t>、</w:t>
      </w:r>
      <w:r>
        <w:rPr>
          <w:rFonts w:ascii="Times New Roman"/>
          <w:b/>
          <w:bCs/>
          <w:color w:val="auto"/>
          <w:sz w:val="30"/>
          <w:szCs w:val="30"/>
        </w:rPr>
        <w:t>现有应急资源</w:t>
      </w:r>
      <w:bookmarkEnd w:id="62"/>
      <w:bookmarkEnd w:id="63"/>
    </w:p>
    <w:p>
      <w:pPr>
        <w:widowControl/>
        <w:wordWrap/>
        <w:spacing w:beforeAutospacing="0" w:line="360" w:lineRule="auto"/>
        <w:jc w:val="left"/>
        <w:textAlignment w:val="auto"/>
        <w:outlineLvl w:val="2"/>
        <w:rPr>
          <w:rFonts w:hint="eastAsia" w:ascii="Times New Roman" w:hAnsi="仿宋" w:eastAsia="仿宋" w:cs="Times New Roman"/>
          <w:b/>
          <w:bCs/>
          <w:color w:val="auto"/>
          <w:kern w:val="0"/>
          <w:sz w:val="28"/>
          <w:szCs w:val="28"/>
          <w:lang w:val="en-US" w:eastAsia="zh-CN"/>
        </w:rPr>
      </w:pPr>
      <w:bookmarkStart w:id="64" w:name="_Toc31908"/>
      <w:r>
        <w:rPr>
          <w:rFonts w:hint="eastAsia" w:ascii="Times New Roman" w:hAnsi="仿宋" w:eastAsia="仿宋" w:cs="Times New Roman"/>
          <w:b/>
          <w:bCs/>
          <w:color w:val="auto"/>
          <w:kern w:val="0"/>
          <w:sz w:val="28"/>
          <w:szCs w:val="28"/>
          <w:lang w:val="en-US" w:eastAsia="zh-CN"/>
        </w:rPr>
        <w:t>3</w:t>
      </w:r>
      <w:r>
        <w:rPr>
          <w:rFonts w:hint="eastAsia" w:ascii="Times New Roman" w:hAnsi="仿宋" w:eastAsia="仿宋" w:cs="Times New Roman"/>
          <w:b/>
          <w:bCs/>
          <w:color w:val="auto"/>
          <w:kern w:val="0"/>
          <w:sz w:val="28"/>
          <w:szCs w:val="28"/>
          <w:lang w:val="en-US" w:eastAsia="zh-CN"/>
        </w:rPr>
        <w:t>.8.1、现有应急物资和装备</w:t>
      </w:r>
      <w:bookmarkEnd w:id="64"/>
    </w:p>
    <w:p>
      <w:pPr>
        <w:pStyle w:val="8"/>
        <w:widowControl w:val="0"/>
        <w:wordWrap/>
        <w:adjustRightInd w:val="0"/>
        <w:snapToGrid w:val="0"/>
        <w:spacing w:beforeAutospacing="0" w:line="360" w:lineRule="auto"/>
        <w:ind w:firstLine="560"/>
        <w:textAlignment w:val="auto"/>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现有应急物资和装备情况见表3.</w:t>
      </w:r>
      <w:r>
        <w:rPr>
          <w:rFonts w:hint="eastAsia" w:ascii="Times New Roman" w:hAnsi="Times New Roman" w:eastAsia="仿宋" w:cs="Times New Roman"/>
          <w:color w:val="auto"/>
          <w:szCs w:val="28"/>
          <w:lang w:val="en-US" w:eastAsia="zh-CN"/>
        </w:rPr>
        <w:t>8</w:t>
      </w:r>
      <w:r>
        <w:rPr>
          <w:rFonts w:hint="default" w:ascii="Times New Roman" w:hAnsi="Times New Roman" w:eastAsia="仿宋" w:cs="Times New Roman"/>
          <w:color w:val="auto"/>
          <w:szCs w:val="28"/>
        </w:rPr>
        <w:t>-1。</w:t>
      </w:r>
    </w:p>
    <w:p>
      <w:pPr>
        <w:jc w:val="center"/>
        <w:rPr>
          <w:rFonts w:hint="default" w:ascii="Times New Roman" w:hAnsi="Times New Roman" w:eastAsia="仿宋" w:cs="Times New Roman"/>
          <w:b/>
          <w:bCs w:val="0"/>
          <w:color w:val="auto"/>
          <w:sz w:val="24"/>
          <w:szCs w:val="24"/>
        </w:rPr>
      </w:pPr>
      <w:r>
        <w:rPr>
          <w:rFonts w:hint="default" w:ascii="Times New Roman" w:hAnsi="Times New Roman" w:eastAsia="仿宋" w:cs="Times New Roman"/>
          <w:b/>
          <w:bCs w:val="0"/>
          <w:color w:val="auto"/>
          <w:sz w:val="24"/>
          <w:szCs w:val="24"/>
          <w:lang w:eastAsia="zh-CN"/>
        </w:rPr>
        <w:t>表</w:t>
      </w:r>
      <w:r>
        <w:rPr>
          <w:rFonts w:hint="default" w:ascii="Times New Roman" w:hAnsi="Times New Roman" w:eastAsia="仿宋" w:cs="Times New Roman"/>
          <w:b/>
          <w:bCs w:val="0"/>
          <w:color w:val="auto"/>
          <w:sz w:val="24"/>
          <w:szCs w:val="24"/>
          <w:lang w:val="en-US" w:eastAsia="zh-CN"/>
        </w:rPr>
        <w:t>3.8-1</w:t>
      </w:r>
      <w:r>
        <w:rPr>
          <w:rFonts w:hint="default" w:ascii="Times New Roman" w:hAnsi="Times New Roman" w:eastAsia="仿宋" w:cs="Times New Roman"/>
          <w:b/>
          <w:bCs w:val="0"/>
          <w:color w:val="auto"/>
          <w:sz w:val="24"/>
          <w:szCs w:val="24"/>
        </w:rPr>
        <w:t>应急救援物资一览表</w:t>
      </w:r>
    </w:p>
    <w:tbl>
      <w:tblPr>
        <w:tblStyle w:val="21"/>
        <w:tblW w:w="97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95"/>
        <w:gridCol w:w="1869"/>
        <w:gridCol w:w="1431"/>
        <w:gridCol w:w="1246"/>
        <w:gridCol w:w="900"/>
        <w:gridCol w:w="1424"/>
        <w:gridCol w:w="969"/>
        <w:gridCol w:w="1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bCs/>
                <w:i w:val="0"/>
                <w:color w:val="auto"/>
                <w:sz w:val="21"/>
                <w:szCs w:val="21"/>
                <w:u w:val="none"/>
              </w:rPr>
            </w:pPr>
            <w:r>
              <w:rPr>
                <w:rFonts w:hint="default" w:ascii="Times New Roman" w:hAnsi="Times New Roman" w:eastAsia="仿宋" w:cs="Times New Roman"/>
                <w:b/>
                <w:bCs/>
                <w:i w:val="0"/>
                <w:color w:val="auto"/>
                <w:kern w:val="0"/>
                <w:sz w:val="21"/>
                <w:szCs w:val="21"/>
                <w:u w:val="none"/>
                <w:lang w:val="en-US" w:eastAsia="zh-CN"/>
              </w:rPr>
              <w:t xml:space="preserve">序号 </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bCs/>
                <w:i w:val="0"/>
                <w:color w:val="auto"/>
                <w:sz w:val="21"/>
                <w:szCs w:val="21"/>
                <w:u w:val="none"/>
              </w:rPr>
            </w:pPr>
            <w:r>
              <w:rPr>
                <w:rFonts w:hint="default" w:ascii="Times New Roman" w:hAnsi="Times New Roman" w:eastAsia="仿宋" w:cs="Times New Roman"/>
                <w:b/>
                <w:bCs/>
                <w:i w:val="0"/>
                <w:color w:val="auto"/>
                <w:kern w:val="0"/>
                <w:sz w:val="21"/>
                <w:szCs w:val="21"/>
                <w:u w:val="none"/>
                <w:lang w:val="en-US" w:eastAsia="zh-CN"/>
              </w:rPr>
              <w:t xml:space="preserve">名称 </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bCs/>
                <w:i w:val="0"/>
                <w:color w:val="auto"/>
                <w:sz w:val="21"/>
                <w:szCs w:val="21"/>
                <w:u w:val="none"/>
              </w:rPr>
            </w:pPr>
            <w:r>
              <w:rPr>
                <w:rFonts w:hint="default" w:ascii="Times New Roman" w:hAnsi="Times New Roman" w:eastAsia="仿宋" w:cs="Times New Roman"/>
                <w:b/>
                <w:bCs/>
                <w:i w:val="0"/>
                <w:color w:val="auto"/>
                <w:kern w:val="0"/>
                <w:sz w:val="21"/>
                <w:szCs w:val="21"/>
                <w:u w:val="none"/>
                <w:lang w:val="en-US" w:eastAsia="zh-CN"/>
              </w:rPr>
              <w:t xml:space="preserve">品牌 </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bCs/>
                <w:i w:val="0"/>
                <w:color w:val="auto"/>
                <w:sz w:val="21"/>
                <w:szCs w:val="21"/>
                <w:u w:val="none"/>
              </w:rPr>
            </w:pPr>
            <w:r>
              <w:rPr>
                <w:rFonts w:hint="default" w:ascii="Times New Roman" w:hAnsi="Times New Roman" w:eastAsia="仿宋" w:cs="Times New Roman"/>
                <w:b/>
                <w:bCs/>
                <w:i w:val="0"/>
                <w:color w:val="auto"/>
                <w:kern w:val="0"/>
                <w:sz w:val="21"/>
                <w:szCs w:val="21"/>
                <w:u w:val="none"/>
                <w:lang w:val="en-US" w:eastAsia="zh-CN"/>
              </w:rPr>
              <w:t xml:space="preserve">型号/规格 </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bCs/>
                <w:i w:val="0"/>
                <w:color w:val="auto"/>
                <w:sz w:val="21"/>
                <w:szCs w:val="21"/>
                <w:u w:val="none"/>
              </w:rPr>
            </w:pPr>
            <w:r>
              <w:rPr>
                <w:rFonts w:hint="default" w:ascii="Times New Roman" w:hAnsi="Times New Roman" w:eastAsia="仿宋" w:cs="Times New Roman"/>
                <w:b/>
                <w:bCs/>
                <w:i w:val="0"/>
                <w:color w:val="auto"/>
                <w:kern w:val="0"/>
                <w:sz w:val="21"/>
                <w:szCs w:val="21"/>
                <w:u w:val="none"/>
                <w:lang w:val="en-US" w:eastAsia="zh-CN"/>
              </w:rPr>
              <w:t xml:space="preserve">储备量 </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bCs/>
                <w:i w:val="0"/>
                <w:color w:val="auto"/>
                <w:sz w:val="21"/>
                <w:szCs w:val="21"/>
                <w:u w:val="none"/>
              </w:rPr>
            </w:pPr>
            <w:r>
              <w:rPr>
                <w:rFonts w:hint="default" w:ascii="Times New Roman" w:hAnsi="Times New Roman" w:eastAsia="仿宋" w:cs="Times New Roman"/>
                <w:b/>
                <w:bCs/>
                <w:i w:val="0"/>
                <w:color w:val="auto"/>
                <w:kern w:val="0"/>
                <w:sz w:val="21"/>
                <w:szCs w:val="21"/>
                <w:u w:val="none"/>
                <w:lang w:val="en-US" w:eastAsia="zh-CN"/>
              </w:rPr>
              <w:t>放置位置</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bCs/>
                <w:i w:val="0"/>
                <w:color w:val="auto"/>
                <w:kern w:val="0"/>
                <w:sz w:val="21"/>
                <w:szCs w:val="21"/>
                <w:u w:val="none"/>
                <w:lang w:val="en-US" w:eastAsia="zh-CN"/>
              </w:rPr>
            </w:pPr>
            <w:r>
              <w:rPr>
                <w:rFonts w:hint="eastAsia" w:ascii="Times New Roman" w:hAnsi="Times New Roman" w:eastAsia="仿宋" w:cs="Times New Roman"/>
                <w:b/>
                <w:bCs/>
                <w:i w:val="0"/>
                <w:color w:val="auto"/>
                <w:kern w:val="0"/>
                <w:sz w:val="21"/>
                <w:szCs w:val="21"/>
                <w:u w:val="none"/>
                <w:lang w:val="en-US" w:eastAsia="zh-CN"/>
              </w:rPr>
              <w:t>责任人</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Times New Roman" w:hAnsi="Times New Roman" w:eastAsia="仿宋" w:cs="Times New Roman"/>
                <w:b/>
                <w:bCs/>
                <w:i w:val="0"/>
                <w:color w:val="auto"/>
                <w:kern w:val="0"/>
                <w:sz w:val="21"/>
                <w:szCs w:val="21"/>
                <w:u w:val="none"/>
                <w:lang w:val="en-US" w:eastAsia="zh-CN"/>
              </w:rPr>
            </w:pPr>
            <w:r>
              <w:rPr>
                <w:rFonts w:hint="eastAsia" w:ascii="Times New Roman" w:hAnsi="Times New Roman" w:eastAsia="仿宋" w:cs="Times New Roman"/>
                <w:b/>
                <w:bCs/>
                <w:i w:val="0"/>
                <w:color w:val="auto"/>
                <w:kern w:val="0"/>
                <w:sz w:val="21"/>
                <w:szCs w:val="21"/>
                <w:u w:val="none"/>
                <w:lang w:val="en-US" w:eastAsia="zh-CN"/>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1</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left" w:pos="3000"/>
              </w:tabs>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 xml:space="preserve">消防栓 </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Times New Roman" w:hAnsi="Times New Roman" w:eastAsia="仿宋" w:cs="Times New Roman"/>
                <w:i w:val="0"/>
                <w:color w:val="auto"/>
                <w:sz w:val="21"/>
                <w:szCs w:val="21"/>
                <w:u w:val="none"/>
                <w:lang w:val="en-US" w:eastAsia="zh-CN"/>
              </w:rPr>
            </w:pPr>
            <w:r>
              <w:rPr>
                <w:rFonts w:hint="eastAsia" w:ascii="Times New Roman" w:hAnsi="Times New Roman" w:eastAsia="仿宋" w:cs="Times New Roman"/>
                <w:i w:val="0"/>
                <w:color w:val="auto"/>
                <w:sz w:val="21"/>
                <w:szCs w:val="21"/>
                <w:u w:val="none"/>
                <w:lang w:val="en-US" w:eastAsia="zh-CN"/>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若干</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lang w:eastAsia="zh-CN"/>
              </w:rPr>
              <w:t>张瑶</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15062181238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2</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left" w:pos="3000"/>
              </w:tabs>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灭火器</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Times New Roman" w:hAnsi="Times New Roman" w:eastAsia="仿宋" w:cs="Times New Roman"/>
                <w:i w:val="0"/>
                <w:color w:val="auto"/>
                <w:sz w:val="21"/>
                <w:szCs w:val="21"/>
                <w:u w:val="none"/>
                <w:lang w:val="en-US" w:eastAsia="zh-CN"/>
              </w:rPr>
            </w:pPr>
            <w:r>
              <w:rPr>
                <w:rFonts w:hint="eastAsia" w:ascii="Times New Roman" w:hAnsi="Times New Roman" w:eastAsia="仿宋" w:cs="Times New Roman"/>
                <w:i w:val="0"/>
                <w:color w:val="auto"/>
                <w:sz w:val="21"/>
                <w:szCs w:val="21"/>
                <w:u w:val="none"/>
                <w:lang w:val="en-US" w:eastAsia="zh-CN"/>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若干</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3</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left" w:pos="3000"/>
              </w:tabs>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消防水池</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Times New Roman" w:hAnsi="Times New Roman" w:eastAsia="仿宋" w:cs="Times New Roman"/>
                <w:i w:val="0"/>
                <w:color w:val="auto"/>
                <w:sz w:val="21"/>
                <w:szCs w:val="21"/>
                <w:u w:val="none"/>
                <w:lang w:val="en-US" w:eastAsia="zh-CN"/>
              </w:rPr>
            </w:pPr>
            <w:r>
              <w:rPr>
                <w:rFonts w:hint="eastAsia" w:ascii="Times New Roman" w:hAnsi="Times New Roman" w:eastAsia="仿宋" w:cs="Times New Roman"/>
                <w:i w:val="0"/>
                <w:color w:val="auto"/>
                <w:sz w:val="21"/>
                <w:szCs w:val="21"/>
                <w:u w:val="none"/>
                <w:lang w:val="en-US" w:eastAsia="zh-CN"/>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Times New Roman" w:hAnsi="Times New Roman" w:eastAsia="仿宋" w:cs="Times New Roman"/>
                <w:i w:val="0"/>
                <w:color w:val="auto"/>
                <w:sz w:val="21"/>
                <w:szCs w:val="21"/>
                <w:u w:val="none"/>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Times New Roman" w:hAnsi="Times New Roman" w:eastAsia="仿宋" w:cs="Times New Roman"/>
                <w:i w:val="0"/>
                <w:color w:val="auto"/>
                <w:sz w:val="21"/>
                <w:szCs w:val="21"/>
                <w:u w:val="none"/>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4</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left" w:pos="3000"/>
              </w:tabs>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消防泵房</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Times New Roman" w:hAnsi="Times New Roman" w:eastAsia="仿宋" w:cs="Times New Roman"/>
                <w:i w:val="0"/>
                <w:color w:val="auto"/>
                <w:sz w:val="21"/>
                <w:szCs w:val="21"/>
                <w:u w:val="none"/>
                <w:lang w:val="en-US" w:eastAsia="zh-CN"/>
              </w:rPr>
            </w:pPr>
            <w:r>
              <w:rPr>
                <w:rFonts w:hint="eastAsia" w:ascii="Times New Roman" w:hAnsi="Times New Roman" w:eastAsia="仿宋" w:cs="Times New Roman"/>
                <w:i w:val="0"/>
                <w:color w:val="auto"/>
                <w:sz w:val="21"/>
                <w:szCs w:val="21"/>
                <w:u w:val="none"/>
                <w:lang w:val="en-US" w:eastAsia="zh-CN"/>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Times New Roman" w:hAnsi="Times New Roman" w:eastAsia="仿宋" w:cs="Times New Roman"/>
                <w:i w:val="0"/>
                <w:color w:val="auto"/>
                <w:sz w:val="21"/>
                <w:szCs w:val="21"/>
                <w:u w:val="none"/>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Times New Roman" w:hAnsi="Times New Roman" w:eastAsia="仿宋" w:cs="Times New Roman"/>
                <w:i w:val="0"/>
                <w:color w:val="auto"/>
                <w:sz w:val="21"/>
                <w:szCs w:val="21"/>
                <w:u w:val="none"/>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5</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可燃气体报警仪</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北京朗睿科技有限公司</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JTQ-CQ-LR6002型</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3</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罐组二</w:t>
            </w:r>
          </w:p>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装卸区</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kern w:val="0"/>
                <w:sz w:val="21"/>
                <w:szCs w:val="21"/>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kern w:val="0"/>
                <w:sz w:val="21"/>
                <w:szCs w:val="21"/>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6</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可燃气体报警仪</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北京朗睿科技有限公司</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2"/>
                <w:sz w:val="21"/>
                <w:szCs w:val="21"/>
                <w:lang w:val="en-US" w:eastAsia="zh-CN"/>
              </w:rPr>
            </w:pPr>
            <w:r>
              <w:rPr>
                <w:rFonts w:hint="default" w:ascii="Times New Roman" w:hAnsi="Times New Roman" w:eastAsia="仿宋" w:cs="Times New Roman"/>
                <w:color w:val="auto"/>
                <w:kern w:val="0"/>
                <w:sz w:val="21"/>
                <w:szCs w:val="21"/>
                <w:lang w:val="en-US" w:eastAsia="zh-CN"/>
              </w:rPr>
              <w:t>JTQ-CQ-LR6002型</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8</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1#车间</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7</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风向标</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生产车间</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kern w:val="0"/>
                <w:sz w:val="21"/>
                <w:szCs w:val="21"/>
                <w:lang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kern w:val="0"/>
                <w:sz w:val="21"/>
                <w:szCs w:val="21"/>
                <w:lang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8</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 xml:space="preserve">应急灯 </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生产车间、储罐区、仓库</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kern w:val="0"/>
                <w:sz w:val="21"/>
                <w:szCs w:val="21"/>
                <w:lang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kern w:val="0"/>
                <w:sz w:val="21"/>
                <w:szCs w:val="21"/>
                <w:lang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9</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消防桶</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ZHANGJON/正匠</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DWWXXFZ11</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4</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罐组一</w:t>
            </w:r>
          </w:p>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lang w:val="en-US" w:eastAsia="zh-CN"/>
              </w:rPr>
              <w:t>二</w:t>
            </w:r>
            <w:r>
              <w:rPr>
                <w:rFonts w:hint="default" w:ascii="Times New Roman" w:hAnsi="Times New Roman" w:eastAsia="仿宋" w:cs="Times New Roman"/>
                <w:color w:val="auto"/>
                <w:kern w:val="0"/>
                <w:sz w:val="21"/>
                <w:szCs w:val="21"/>
                <w:lang w:eastAsia="zh-CN"/>
              </w:rPr>
              <w:t>附近</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10</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正压式空气呼吸器</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浙江恒泰安全设备有限公司</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RHZKF6.8/30型</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11</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 xml:space="preserve">防静电工作服 </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12</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防酸工作服</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13</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color w:val="auto"/>
                <w:sz w:val="21"/>
                <w:szCs w:val="21"/>
              </w:rPr>
              <w:t>耐酸碱胶靴</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14</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耐酸碱手套</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15</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化学防护服</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雷克兰（北京）安全防护用具有限公司</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限次使用型</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16</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警戒带</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200米</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17</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防爆手电</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华升黑豹</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WSL-721型</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18</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安全带</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应急器材柜</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19</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防火服</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应急器材柜</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20</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千斤顶</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应急器材柜</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21</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消防斧</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应急器材柜</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22</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堵漏工具（堵漏器、补漏卡子、密封胶带、圆锥楔、扁楔）</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应急器材柜</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23</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Cs/>
                <w:color w:val="auto"/>
                <w:kern w:val="0"/>
                <w:sz w:val="21"/>
                <w:szCs w:val="21"/>
                <w:lang w:eastAsia="zh-CN"/>
              </w:rPr>
              <w:t>防爆</w:t>
            </w:r>
            <w:r>
              <w:rPr>
                <w:rFonts w:hint="default" w:ascii="Times New Roman" w:hAnsi="Times New Roman" w:eastAsia="仿宋" w:cs="Times New Roman"/>
                <w:bCs/>
                <w:color w:val="auto"/>
                <w:kern w:val="0"/>
                <w:sz w:val="21"/>
                <w:szCs w:val="21"/>
              </w:rPr>
              <w:t>工具</w:t>
            </w:r>
            <w:r>
              <w:rPr>
                <w:rFonts w:hint="default" w:ascii="Times New Roman" w:hAnsi="Times New Roman" w:eastAsia="仿宋" w:cs="Times New Roman"/>
                <w:bCs/>
                <w:color w:val="auto"/>
                <w:kern w:val="0"/>
                <w:sz w:val="21"/>
                <w:szCs w:val="21"/>
                <w:lang w:eastAsia="zh-CN"/>
              </w:rPr>
              <w:t>（套装）</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石家庄市金盾防爆工具有限公司</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活动扳手10寸/钳子通用</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应急器材柜</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24</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绝缘工具（绝缘手套、绝缘靴、绝缘杆）</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配电室</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25</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应急药箱</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办公室</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26</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color w:val="auto"/>
                <w:sz w:val="21"/>
                <w:szCs w:val="21"/>
              </w:rPr>
              <w:t>担架</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办公室</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27</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氧气枕</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办公室</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28</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对讲机</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4</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b w:val="0"/>
                <w:i w:val="0"/>
                <w:color w:val="auto"/>
                <w:kern w:val="0"/>
                <w:sz w:val="21"/>
                <w:szCs w:val="21"/>
                <w:lang w:val="en-US" w:eastAsia="zh-CN"/>
              </w:rPr>
              <w:t>个人</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5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lang w:val="en-US" w:eastAsia="zh-CN"/>
              </w:rPr>
            </w:pPr>
            <w:r>
              <w:rPr>
                <w:rFonts w:hint="default" w:ascii="Times New Roman" w:hAnsi="Times New Roman" w:eastAsia="仿宋" w:cs="Times New Roman"/>
                <w:i w:val="0"/>
                <w:color w:val="auto"/>
                <w:sz w:val="21"/>
                <w:szCs w:val="21"/>
                <w:u w:val="none"/>
                <w:lang w:val="en-US" w:eastAsia="zh-CN"/>
              </w:rPr>
              <w:t>29</w:t>
            </w:r>
          </w:p>
        </w:tc>
        <w:tc>
          <w:tcPr>
            <w:tcW w:w="18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救生绳</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办公室</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c>
          <w:tcPr>
            <w:tcW w:w="1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i w:val="0"/>
                <w:color w:val="auto"/>
                <w:sz w:val="21"/>
                <w:szCs w:val="21"/>
                <w:u w:val="none"/>
                <w:lang w:val="en-US" w:eastAsia="zh-CN"/>
              </w:rPr>
              <w:t>-</w:t>
            </w:r>
          </w:p>
        </w:tc>
      </w:tr>
    </w:tbl>
    <w:p>
      <w:pPr>
        <w:pStyle w:val="8"/>
        <w:spacing w:line="500" w:lineRule="exact"/>
        <w:ind w:firstLine="560"/>
        <w:rPr>
          <w:rFonts w:ascii="Times New Roman" w:eastAsia="仿宋"/>
          <w:color w:val="auto"/>
        </w:rPr>
      </w:pPr>
      <w:r>
        <w:rPr>
          <w:rFonts w:ascii="Times New Roman" w:eastAsia="仿宋"/>
          <w:color w:val="auto"/>
        </w:rPr>
        <w:t>应补充的应急物资见表3.</w:t>
      </w:r>
      <w:r>
        <w:rPr>
          <w:rFonts w:hint="eastAsia" w:ascii="Times New Roman" w:eastAsia="仿宋"/>
          <w:color w:val="auto"/>
          <w:lang w:val="en-US" w:eastAsia="zh-CN"/>
        </w:rPr>
        <w:t>8</w:t>
      </w:r>
      <w:r>
        <w:rPr>
          <w:rFonts w:ascii="Times New Roman" w:eastAsia="仿宋"/>
          <w:color w:val="auto"/>
        </w:rPr>
        <w:t>-2。</w:t>
      </w:r>
    </w:p>
    <w:p>
      <w:pPr>
        <w:pStyle w:val="8"/>
        <w:spacing w:line="500" w:lineRule="exact"/>
        <w:ind w:firstLine="0" w:firstLineChars="0"/>
        <w:jc w:val="center"/>
        <w:rPr>
          <w:rFonts w:ascii="Times New Roman" w:eastAsia="仿宋"/>
          <w:b/>
          <w:bCs/>
          <w:color w:val="auto"/>
          <w:sz w:val="24"/>
        </w:rPr>
      </w:pPr>
      <w:r>
        <w:rPr>
          <w:rFonts w:ascii="Times New Roman" w:eastAsia="仿宋"/>
          <w:b/>
          <w:bCs/>
          <w:color w:val="auto"/>
          <w:sz w:val="24"/>
        </w:rPr>
        <w:t>表3.</w:t>
      </w:r>
      <w:r>
        <w:rPr>
          <w:rFonts w:hint="eastAsia" w:ascii="Times New Roman" w:eastAsia="仿宋"/>
          <w:b/>
          <w:bCs/>
          <w:color w:val="auto"/>
          <w:sz w:val="24"/>
          <w:lang w:val="en-US" w:eastAsia="zh-CN"/>
        </w:rPr>
        <w:t>8</w:t>
      </w:r>
      <w:r>
        <w:rPr>
          <w:rFonts w:ascii="Times New Roman" w:eastAsia="仿宋"/>
          <w:b/>
          <w:bCs/>
          <w:color w:val="auto"/>
          <w:sz w:val="24"/>
        </w:rPr>
        <w:t>-2应补充的应急物资</w:t>
      </w:r>
    </w:p>
    <w:tbl>
      <w:tblPr>
        <w:tblStyle w:val="21"/>
        <w:tblW w:w="9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948"/>
        <w:gridCol w:w="830"/>
        <w:gridCol w:w="856"/>
        <w:gridCol w:w="4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snapToGrid w:val="0"/>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序号</w:t>
            </w:r>
          </w:p>
        </w:tc>
        <w:tc>
          <w:tcPr>
            <w:tcW w:w="2948" w:type="dxa"/>
            <w:vAlign w:val="center"/>
          </w:tcPr>
          <w:p>
            <w:pPr>
              <w:snapToGrid w:val="0"/>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rPr>
              <w:t>物资名称</w:t>
            </w:r>
          </w:p>
        </w:tc>
        <w:tc>
          <w:tcPr>
            <w:tcW w:w="830" w:type="dxa"/>
            <w:vAlign w:val="center"/>
          </w:tcPr>
          <w:p>
            <w:pPr>
              <w:snapToGrid w:val="0"/>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rPr>
              <w:t>单位</w:t>
            </w:r>
          </w:p>
        </w:tc>
        <w:tc>
          <w:tcPr>
            <w:tcW w:w="856" w:type="dxa"/>
            <w:vAlign w:val="center"/>
          </w:tcPr>
          <w:p>
            <w:pPr>
              <w:snapToGrid w:val="0"/>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rPr>
              <w:t>数量</w:t>
            </w:r>
          </w:p>
        </w:tc>
        <w:tc>
          <w:tcPr>
            <w:tcW w:w="4544" w:type="dxa"/>
            <w:vAlign w:val="center"/>
          </w:tcPr>
          <w:p>
            <w:pPr>
              <w:snapToGrid w:val="0"/>
              <w:jc w:val="center"/>
              <w:rPr>
                <w:rFonts w:hint="eastAsia" w:ascii="Times New Roman" w:hAnsi="Times New Roman" w:eastAsia="仿宋" w:cs="Times New Roman"/>
                <w:b/>
                <w:bCs/>
                <w:color w:val="auto"/>
                <w:highlight w:val="none"/>
                <w:lang w:eastAsia="zh-CN"/>
              </w:rPr>
            </w:pPr>
            <w:r>
              <w:rPr>
                <w:rFonts w:hint="eastAsia" w:ascii="Times New Roman" w:hAnsi="Times New Roman" w:eastAsia="仿宋" w:cs="Times New Roman"/>
                <w:b/>
                <w:bCs/>
                <w:color w:val="auto"/>
                <w:highlight w:val="none"/>
                <w:lang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1</w:t>
            </w:r>
          </w:p>
        </w:tc>
        <w:tc>
          <w:tcPr>
            <w:tcW w:w="2948"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kern w:val="0"/>
                <w:sz w:val="21"/>
                <w:szCs w:val="21"/>
              </w:rPr>
              <w:t>溢漏围堤下水道阻流袋</w:t>
            </w:r>
          </w:p>
        </w:tc>
        <w:tc>
          <w:tcPr>
            <w:tcW w:w="830"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个</w:t>
            </w:r>
          </w:p>
        </w:tc>
        <w:tc>
          <w:tcPr>
            <w:tcW w:w="856" w:type="dxa"/>
            <w:vAlign w:val="center"/>
          </w:tcPr>
          <w:p>
            <w:pPr>
              <w:snapToGrid w:val="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若干</w:t>
            </w:r>
          </w:p>
        </w:tc>
        <w:tc>
          <w:tcPr>
            <w:tcW w:w="4544" w:type="dxa"/>
            <w:vAlign w:val="center"/>
          </w:tcPr>
          <w:p>
            <w:pPr>
              <w:snapToGrid w:val="0"/>
              <w:jc w:val="center"/>
              <w:rPr>
                <w:rFonts w:hint="default" w:ascii="Times New Roman" w:hAnsi="Times New Roman" w:eastAsia="仿宋" w:cs="Times New Roman"/>
                <w:color w:val="auto"/>
                <w:kern w:val="2"/>
                <w:sz w:val="21"/>
                <w:szCs w:val="22"/>
                <w:lang w:val="en-US" w:eastAsia="zh-CN" w:bidi="ar-SA"/>
              </w:rPr>
            </w:pPr>
            <w:r>
              <w:rPr>
                <w:rFonts w:hint="default" w:ascii="Times New Roman" w:hAnsi="Times New Roman" w:eastAsia="仿宋" w:cs="Times New Roman"/>
                <w:color w:val="auto"/>
              </w:rPr>
              <w:t>污染源切断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60"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2</w:t>
            </w:r>
          </w:p>
        </w:tc>
        <w:tc>
          <w:tcPr>
            <w:tcW w:w="2948" w:type="dxa"/>
            <w:vAlign w:val="center"/>
          </w:tcPr>
          <w:p>
            <w:pPr>
              <w:snapToGrid w:val="0"/>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围油栏、浮桶</w:t>
            </w:r>
          </w:p>
        </w:tc>
        <w:tc>
          <w:tcPr>
            <w:tcW w:w="830"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个</w:t>
            </w:r>
          </w:p>
        </w:tc>
        <w:tc>
          <w:tcPr>
            <w:tcW w:w="856" w:type="dxa"/>
            <w:vAlign w:val="center"/>
          </w:tcPr>
          <w:p>
            <w:pPr>
              <w:snapToGrid w:val="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若干</w:t>
            </w:r>
          </w:p>
        </w:tc>
        <w:tc>
          <w:tcPr>
            <w:tcW w:w="4544" w:type="dxa"/>
            <w:vAlign w:val="center"/>
          </w:tcPr>
          <w:p>
            <w:pPr>
              <w:snapToGrid w:val="0"/>
              <w:jc w:val="center"/>
              <w:rPr>
                <w:rFonts w:hint="default" w:ascii="Times New Roman" w:hAnsi="Times New Roman" w:eastAsia="仿宋" w:cs="Times New Roman"/>
                <w:color w:val="auto"/>
                <w:kern w:val="2"/>
                <w:sz w:val="21"/>
                <w:szCs w:val="22"/>
                <w:lang w:val="en-US" w:eastAsia="zh-CN" w:bidi="ar-SA"/>
              </w:rPr>
            </w:pPr>
            <w:r>
              <w:rPr>
                <w:rFonts w:hint="default" w:ascii="Times New Roman" w:hAnsi="Times New Roman" w:eastAsia="仿宋" w:cs="Times New Roman"/>
                <w:color w:val="auto"/>
              </w:rPr>
              <w:t>污染物控制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60" w:type="dxa"/>
            <w:vAlign w:val="center"/>
          </w:tcPr>
          <w:p>
            <w:pPr>
              <w:snapToGrid w:val="0"/>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3</w:t>
            </w:r>
          </w:p>
        </w:tc>
        <w:tc>
          <w:tcPr>
            <w:tcW w:w="2948" w:type="dxa"/>
            <w:vAlign w:val="center"/>
          </w:tcPr>
          <w:p>
            <w:pPr>
              <w:snapToGrid w:val="0"/>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便携式检测设备</w:t>
            </w:r>
          </w:p>
        </w:tc>
        <w:tc>
          <w:tcPr>
            <w:tcW w:w="830" w:type="dxa"/>
            <w:vAlign w:val="center"/>
          </w:tcPr>
          <w:p>
            <w:pPr>
              <w:snapToGrid w:val="0"/>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个</w:t>
            </w:r>
          </w:p>
        </w:tc>
        <w:tc>
          <w:tcPr>
            <w:tcW w:w="856" w:type="dxa"/>
            <w:vAlign w:val="center"/>
          </w:tcPr>
          <w:p>
            <w:pPr>
              <w:snapToGrid w:val="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2</w:t>
            </w:r>
          </w:p>
        </w:tc>
        <w:tc>
          <w:tcPr>
            <w:tcW w:w="4544" w:type="dxa"/>
            <w:vAlign w:val="center"/>
          </w:tcPr>
          <w:p>
            <w:pPr>
              <w:snapToGrid w:val="0"/>
              <w:jc w:val="center"/>
              <w:rPr>
                <w:rFonts w:hint="eastAsia"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eastAsia="zh-CN"/>
              </w:rPr>
              <w:t>环境监测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60" w:type="dxa"/>
            <w:vAlign w:val="center"/>
          </w:tcPr>
          <w:p>
            <w:pPr>
              <w:snapToGrid w:val="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4</w:t>
            </w:r>
          </w:p>
        </w:tc>
        <w:tc>
          <w:tcPr>
            <w:tcW w:w="2948" w:type="dxa"/>
            <w:vAlign w:val="center"/>
          </w:tcPr>
          <w:p>
            <w:pPr>
              <w:snapToGrid w:val="0"/>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耐酸潜水泵</w:t>
            </w:r>
          </w:p>
        </w:tc>
        <w:tc>
          <w:tcPr>
            <w:tcW w:w="830" w:type="dxa"/>
            <w:vAlign w:val="center"/>
          </w:tcPr>
          <w:p>
            <w:pPr>
              <w:snapToGrid w:val="0"/>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个</w:t>
            </w:r>
          </w:p>
        </w:tc>
        <w:tc>
          <w:tcPr>
            <w:tcW w:w="856" w:type="dxa"/>
            <w:vAlign w:val="center"/>
          </w:tcPr>
          <w:p>
            <w:pPr>
              <w:snapToGrid w:val="0"/>
              <w:jc w:val="center"/>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若干</w:t>
            </w:r>
          </w:p>
        </w:tc>
        <w:tc>
          <w:tcPr>
            <w:tcW w:w="4544" w:type="dxa"/>
            <w:vAlign w:val="center"/>
          </w:tcPr>
          <w:p>
            <w:pPr>
              <w:snapToGrid w:val="0"/>
              <w:jc w:val="center"/>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安全防护等</w:t>
            </w:r>
          </w:p>
        </w:tc>
      </w:tr>
    </w:tbl>
    <w:p>
      <w:pPr>
        <w:pStyle w:val="8"/>
        <w:spacing w:line="500" w:lineRule="exact"/>
        <w:ind w:firstLine="560"/>
        <w:rPr>
          <w:rFonts w:hint="eastAsia" w:ascii="宋体" w:hAnsi="宋体" w:eastAsia="宋体"/>
          <w:color w:val="auto"/>
        </w:rPr>
      </w:pPr>
      <w:r>
        <w:rPr>
          <w:rFonts w:ascii="Times New Roman" w:eastAsia="仿宋"/>
          <w:color w:val="auto"/>
        </w:rPr>
        <w:t>表3.</w:t>
      </w:r>
      <w:r>
        <w:rPr>
          <w:rFonts w:hint="eastAsia" w:ascii="Times New Roman" w:eastAsia="仿宋"/>
          <w:color w:val="auto"/>
          <w:lang w:val="en-US" w:eastAsia="zh-CN"/>
        </w:rPr>
        <w:t>8</w:t>
      </w:r>
      <w:r>
        <w:rPr>
          <w:rFonts w:ascii="Times New Roman" w:eastAsia="仿宋"/>
          <w:color w:val="auto"/>
        </w:rPr>
        <w:t>-1中</w:t>
      </w:r>
      <w:r>
        <w:rPr>
          <w:rFonts w:ascii="Times New Roman" w:eastAsia="仿宋"/>
          <w:color w:val="auto"/>
        </w:rPr>
        <w:t>急救箱配置药品种类、数量等情况见表3.</w:t>
      </w:r>
      <w:r>
        <w:rPr>
          <w:rFonts w:hint="eastAsia" w:ascii="Times New Roman" w:eastAsia="仿宋"/>
          <w:color w:val="auto"/>
          <w:lang w:val="en-US" w:eastAsia="zh-CN"/>
        </w:rPr>
        <w:t>8</w:t>
      </w:r>
      <w:r>
        <w:rPr>
          <w:rFonts w:ascii="Times New Roman" w:eastAsia="仿宋"/>
          <w:color w:val="auto"/>
        </w:rPr>
        <w:t>-3</w:t>
      </w:r>
      <w:r>
        <w:rPr>
          <w:rFonts w:hint="eastAsia" w:ascii="宋体" w:hAnsi="宋体" w:eastAsia="宋体"/>
          <w:color w:val="auto"/>
        </w:rPr>
        <w:t>。</w:t>
      </w:r>
    </w:p>
    <w:p>
      <w:pPr>
        <w:pStyle w:val="8"/>
        <w:spacing w:line="500" w:lineRule="exact"/>
        <w:ind w:firstLine="0" w:firstLineChars="0"/>
        <w:jc w:val="center"/>
        <w:rPr>
          <w:rFonts w:hint="eastAsia" w:ascii="Times New Roman" w:eastAsia="仿宋"/>
          <w:b/>
          <w:bCs/>
          <w:color w:val="auto"/>
          <w:sz w:val="24"/>
        </w:rPr>
      </w:pPr>
      <w:r>
        <w:rPr>
          <w:rFonts w:hint="eastAsia" w:ascii="Times New Roman" w:eastAsia="仿宋"/>
          <w:b/>
          <w:bCs/>
          <w:color w:val="auto"/>
          <w:sz w:val="24"/>
        </w:rPr>
        <w:t>表3.</w:t>
      </w:r>
      <w:r>
        <w:rPr>
          <w:rFonts w:hint="eastAsia" w:ascii="Times New Roman" w:eastAsia="仿宋"/>
          <w:b/>
          <w:bCs/>
          <w:color w:val="auto"/>
          <w:sz w:val="24"/>
          <w:lang w:val="en-US" w:eastAsia="zh-CN"/>
        </w:rPr>
        <w:t>8</w:t>
      </w:r>
      <w:r>
        <w:rPr>
          <w:rFonts w:hint="eastAsia" w:ascii="Times New Roman" w:eastAsia="仿宋"/>
          <w:b/>
          <w:bCs/>
          <w:color w:val="auto"/>
          <w:sz w:val="24"/>
        </w:rPr>
        <w:t>-3急救箱配置药品种类、数量</w:t>
      </w:r>
    </w:p>
    <w:tbl>
      <w:tblPr>
        <w:tblStyle w:val="21"/>
        <w:tblW w:w="9938" w:type="dxa"/>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2995"/>
        <w:gridCol w:w="1918"/>
        <w:gridCol w:w="5025"/>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blHeader/>
        </w:trPr>
        <w:tc>
          <w:tcPr>
            <w:tcW w:w="2995" w:type="dxa"/>
            <w:vAlign w:val="center"/>
          </w:tcPr>
          <w:p>
            <w:pPr>
              <w:snapToGrid w:val="0"/>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rPr>
              <w:t>药品名称</w:t>
            </w:r>
          </w:p>
        </w:tc>
        <w:tc>
          <w:tcPr>
            <w:tcW w:w="1918" w:type="dxa"/>
            <w:vAlign w:val="center"/>
          </w:tcPr>
          <w:p>
            <w:pPr>
              <w:snapToGrid w:val="0"/>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rPr>
              <w:t>储存数量</w:t>
            </w:r>
          </w:p>
        </w:tc>
        <w:tc>
          <w:tcPr>
            <w:tcW w:w="5025" w:type="dxa"/>
            <w:vAlign w:val="center"/>
          </w:tcPr>
          <w:p>
            <w:pPr>
              <w:snapToGrid w:val="0"/>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rPr>
              <w:t>用  途</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医用酒精</w:t>
            </w:r>
          </w:p>
        </w:tc>
        <w:tc>
          <w:tcPr>
            <w:tcW w:w="1918" w:type="dxa"/>
            <w:vAlign w:val="center"/>
          </w:tcPr>
          <w:p>
            <w:pPr>
              <w:snapToGrid w:val="0"/>
              <w:jc w:val="center"/>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消毒伤口</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0.9％的生理盐水</w:t>
            </w:r>
          </w:p>
        </w:tc>
        <w:tc>
          <w:tcPr>
            <w:tcW w:w="1918" w:type="dxa"/>
            <w:vAlign w:val="center"/>
          </w:tcPr>
          <w:p>
            <w:pPr>
              <w:snapToGrid w:val="0"/>
              <w:jc w:val="center"/>
              <w:rPr>
                <w:rFonts w:hint="default" w:ascii="Times New Roman" w:hAnsi="Times New Roman" w:eastAsia="仿宋" w:cs="Times New Roman"/>
                <w:color w:val="auto"/>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清洗伤口</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2％醋酸或3％硼酸</w:t>
            </w:r>
          </w:p>
        </w:tc>
        <w:tc>
          <w:tcPr>
            <w:tcW w:w="1918" w:type="dxa"/>
            <w:vAlign w:val="center"/>
          </w:tcPr>
          <w:p>
            <w:pPr>
              <w:snapToGrid w:val="0"/>
              <w:jc w:val="center"/>
              <w:rPr>
                <w:rFonts w:hint="default"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处置碱灼伤</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脱脂棉签</w:t>
            </w:r>
          </w:p>
        </w:tc>
        <w:tc>
          <w:tcPr>
            <w:tcW w:w="1918" w:type="dxa"/>
            <w:vAlign w:val="center"/>
          </w:tcPr>
          <w:p>
            <w:pPr>
              <w:snapToGrid w:val="0"/>
              <w:jc w:val="center"/>
              <w:rPr>
                <w:rFonts w:hint="eastAsia"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清洗伤口</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中号胶布</w:t>
            </w:r>
          </w:p>
        </w:tc>
        <w:tc>
          <w:tcPr>
            <w:tcW w:w="1918" w:type="dxa"/>
            <w:vAlign w:val="center"/>
          </w:tcPr>
          <w:p>
            <w:pPr>
              <w:snapToGrid w:val="0"/>
              <w:jc w:val="center"/>
              <w:rPr>
                <w:rFonts w:hint="eastAsia"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粘贴绷带</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绷带</w:t>
            </w:r>
          </w:p>
        </w:tc>
        <w:tc>
          <w:tcPr>
            <w:tcW w:w="1918" w:type="dxa"/>
            <w:vAlign w:val="center"/>
          </w:tcPr>
          <w:p>
            <w:pPr>
              <w:snapToGrid w:val="0"/>
              <w:jc w:val="center"/>
              <w:rPr>
                <w:rFonts w:hint="default"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包扎伤口</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剪刀</w:t>
            </w:r>
          </w:p>
        </w:tc>
        <w:tc>
          <w:tcPr>
            <w:tcW w:w="1918" w:type="dxa"/>
            <w:vAlign w:val="center"/>
          </w:tcPr>
          <w:p>
            <w:pPr>
              <w:snapToGrid w:val="0"/>
              <w:jc w:val="center"/>
              <w:rPr>
                <w:rFonts w:hint="eastAsia"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1</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急救</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锤子</w:t>
            </w:r>
          </w:p>
        </w:tc>
        <w:tc>
          <w:tcPr>
            <w:tcW w:w="1918" w:type="dxa"/>
            <w:vAlign w:val="center"/>
          </w:tcPr>
          <w:p>
            <w:pPr>
              <w:snapToGrid w:val="0"/>
              <w:jc w:val="center"/>
              <w:rPr>
                <w:rFonts w:hint="eastAsia"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1</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急救</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烫伤软膏</w:t>
            </w:r>
          </w:p>
        </w:tc>
        <w:tc>
          <w:tcPr>
            <w:tcW w:w="1918" w:type="dxa"/>
            <w:vAlign w:val="center"/>
          </w:tcPr>
          <w:p>
            <w:pPr>
              <w:snapToGrid w:val="0"/>
              <w:jc w:val="center"/>
              <w:rPr>
                <w:rFonts w:hint="eastAsia"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消肿/烫伤</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保鲜纸</w:t>
            </w:r>
          </w:p>
        </w:tc>
        <w:tc>
          <w:tcPr>
            <w:tcW w:w="1918" w:type="dxa"/>
            <w:vAlign w:val="center"/>
          </w:tcPr>
          <w:p>
            <w:pPr>
              <w:snapToGrid w:val="0"/>
              <w:jc w:val="center"/>
              <w:rPr>
                <w:rFonts w:hint="eastAsia"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包裹烧伤、烫伤部位</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创可贴</w:t>
            </w:r>
          </w:p>
        </w:tc>
        <w:tc>
          <w:tcPr>
            <w:tcW w:w="1918" w:type="dxa"/>
            <w:vAlign w:val="center"/>
          </w:tcPr>
          <w:p>
            <w:pPr>
              <w:snapToGrid w:val="0"/>
              <w:jc w:val="center"/>
              <w:rPr>
                <w:rFonts w:hint="default"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止血护创</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伤湿止痛膏</w:t>
            </w:r>
          </w:p>
        </w:tc>
        <w:tc>
          <w:tcPr>
            <w:tcW w:w="1918" w:type="dxa"/>
            <w:vAlign w:val="center"/>
          </w:tcPr>
          <w:p>
            <w:pPr>
              <w:snapToGrid w:val="0"/>
              <w:jc w:val="center"/>
              <w:rPr>
                <w:rFonts w:hint="default"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瘀伤、扭伤</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冰袋</w:t>
            </w:r>
          </w:p>
        </w:tc>
        <w:tc>
          <w:tcPr>
            <w:tcW w:w="1918" w:type="dxa"/>
            <w:vAlign w:val="center"/>
          </w:tcPr>
          <w:p>
            <w:pPr>
              <w:snapToGrid w:val="0"/>
              <w:jc w:val="center"/>
              <w:rPr>
                <w:rFonts w:hint="default"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瘀伤、肌肉拉伤或关节扭伤</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止血带</w:t>
            </w:r>
          </w:p>
        </w:tc>
        <w:tc>
          <w:tcPr>
            <w:tcW w:w="1918" w:type="dxa"/>
            <w:vAlign w:val="center"/>
          </w:tcPr>
          <w:p>
            <w:pPr>
              <w:snapToGrid w:val="0"/>
              <w:jc w:val="center"/>
              <w:rPr>
                <w:rFonts w:hint="default"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止血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三角巾</w:t>
            </w:r>
          </w:p>
        </w:tc>
        <w:tc>
          <w:tcPr>
            <w:tcW w:w="1918" w:type="dxa"/>
            <w:vAlign w:val="center"/>
          </w:tcPr>
          <w:p>
            <w:pPr>
              <w:snapToGrid w:val="0"/>
              <w:jc w:val="center"/>
              <w:rPr>
                <w:rFonts w:hint="default"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受伤的上肢、固定敷料或骨折处等</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高分子急救夹板</w:t>
            </w:r>
          </w:p>
        </w:tc>
        <w:tc>
          <w:tcPr>
            <w:tcW w:w="1918" w:type="dxa"/>
            <w:vAlign w:val="center"/>
          </w:tcPr>
          <w:p>
            <w:pPr>
              <w:snapToGrid w:val="0"/>
              <w:jc w:val="center"/>
              <w:rPr>
                <w:rFonts w:hint="default"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骨折处理</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眼药膏</w:t>
            </w:r>
          </w:p>
        </w:tc>
        <w:tc>
          <w:tcPr>
            <w:tcW w:w="1918" w:type="dxa"/>
            <w:vAlign w:val="center"/>
          </w:tcPr>
          <w:p>
            <w:pPr>
              <w:snapToGrid w:val="0"/>
              <w:jc w:val="center"/>
              <w:rPr>
                <w:rFonts w:hint="default"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处理眼睛</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防暑降温药品</w:t>
            </w:r>
          </w:p>
        </w:tc>
        <w:tc>
          <w:tcPr>
            <w:tcW w:w="1918" w:type="dxa"/>
            <w:vAlign w:val="center"/>
          </w:tcPr>
          <w:p>
            <w:pPr>
              <w:snapToGrid w:val="0"/>
              <w:jc w:val="center"/>
              <w:rPr>
                <w:rFonts w:hint="default"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夏季防暑降温</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体温计</w:t>
            </w:r>
          </w:p>
        </w:tc>
        <w:tc>
          <w:tcPr>
            <w:tcW w:w="1918" w:type="dxa"/>
            <w:vAlign w:val="center"/>
          </w:tcPr>
          <w:p>
            <w:pPr>
              <w:snapToGrid w:val="0"/>
              <w:jc w:val="center"/>
              <w:rPr>
                <w:rFonts w:hint="default"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测体温</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急救、呼吸气囊</w:t>
            </w:r>
          </w:p>
        </w:tc>
        <w:tc>
          <w:tcPr>
            <w:tcW w:w="1918" w:type="dxa"/>
            <w:vAlign w:val="center"/>
          </w:tcPr>
          <w:p>
            <w:pPr>
              <w:snapToGrid w:val="0"/>
              <w:jc w:val="center"/>
              <w:rPr>
                <w:rFonts w:hint="default"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人工呼吸</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急救毯</w:t>
            </w:r>
          </w:p>
        </w:tc>
        <w:tc>
          <w:tcPr>
            <w:tcW w:w="1918" w:type="dxa"/>
            <w:vAlign w:val="center"/>
          </w:tcPr>
          <w:p>
            <w:pPr>
              <w:snapToGrid w:val="0"/>
              <w:jc w:val="center"/>
              <w:rPr>
                <w:rFonts w:hint="default"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急救</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299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手电筒</w:t>
            </w:r>
          </w:p>
        </w:tc>
        <w:tc>
          <w:tcPr>
            <w:tcW w:w="1918" w:type="dxa"/>
            <w:vAlign w:val="center"/>
          </w:tcPr>
          <w:p>
            <w:pPr>
              <w:snapToGrid w:val="0"/>
              <w:jc w:val="center"/>
              <w:rPr>
                <w:rFonts w:hint="default" w:ascii="Times New Roman" w:hAnsi="Times New Roman" w:eastAsia="仿宋" w:cs="Times New Roman"/>
                <w:color w:val="auto"/>
                <w:kern w:val="2"/>
                <w:sz w:val="21"/>
                <w:szCs w:val="22"/>
                <w:lang w:val="en-US" w:eastAsia="zh-CN" w:bidi="ar-SA"/>
              </w:rPr>
            </w:pPr>
            <w:r>
              <w:rPr>
                <w:rFonts w:hint="eastAsia" w:ascii="Times New Roman" w:hAnsi="Times New Roman" w:eastAsia="仿宋" w:cs="Times New Roman"/>
                <w:color w:val="auto"/>
                <w:lang w:val="en-US" w:eastAsia="zh-CN"/>
              </w:rPr>
              <w:t>/</w:t>
            </w:r>
          </w:p>
        </w:tc>
        <w:tc>
          <w:tcPr>
            <w:tcW w:w="5025" w:type="dxa"/>
            <w:vAlign w:val="center"/>
          </w:tcPr>
          <w:p>
            <w:pPr>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t>急救</w:t>
            </w:r>
          </w:p>
        </w:tc>
      </w:tr>
    </w:tbl>
    <w:p>
      <w:pPr>
        <w:widowControl/>
        <w:wordWrap/>
        <w:spacing w:beforeAutospacing="0" w:line="360" w:lineRule="auto"/>
        <w:jc w:val="left"/>
        <w:textAlignment w:val="auto"/>
        <w:outlineLvl w:val="2"/>
        <w:rPr>
          <w:rFonts w:hint="eastAsia" w:ascii="Times New Roman" w:hAnsi="仿宋" w:eastAsia="仿宋" w:cs="Times New Roman"/>
          <w:b/>
          <w:bCs/>
          <w:color w:val="auto"/>
          <w:kern w:val="0"/>
          <w:sz w:val="28"/>
          <w:szCs w:val="28"/>
          <w:lang w:val="en-US" w:eastAsia="zh-CN"/>
        </w:rPr>
      </w:pPr>
    </w:p>
    <w:p>
      <w:pPr>
        <w:widowControl/>
        <w:wordWrap/>
        <w:spacing w:beforeAutospacing="0" w:line="360" w:lineRule="auto"/>
        <w:jc w:val="left"/>
        <w:textAlignment w:val="auto"/>
        <w:outlineLvl w:val="2"/>
        <w:rPr>
          <w:rFonts w:hint="eastAsia" w:ascii="Times New Roman" w:hAnsi="仿宋" w:eastAsia="仿宋" w:cs="Times New Roman"/>
          <w:b/>
          <w:bCs/>
          <w:color w:val="auto"/>
          <w:kern w:val="0"/>
          <w:sz w:val="28"/>
          <w:szCs w:val="28"/>
          <w:lang w:val="en-US" w:eastAsia="zh-CN"/>
        </w:rPr>
      </w:pPr>
      <w:bookmarkStart w:id="65" w:name="_Toc24730"/>
      <w:r>
        <w:rPr>
          <w:rFonts w:hint="eastAsia" w:ascii="Times New Roman" w:hAnsi="仿宋" w:eastAsia="仿宋" w:cs="Times New Roman"/>
          <w:b/>
          <w:bCs/>
          <w:color w:val="auto"/>
          <w:kern w:val="0"/>
          <w:sz w:val="28"/>
          <w:szCs w:val="28"/>
          <w:lang w:val="en-US" w:eastAsia="zh-CN"/>
        </w:rPr>
        <w:t>3.8.2现有应急救援队伍情况</w:t>
      </w:r>
      <w:bookmarkEnd w:id="65"/>
    </w:p>
    <w:p>
      <w:pPr>
        <w:pStyle w:val="8"/>
        <w:spacing w:line="360" w:lineRule="auto"/>
        <w:ind w:firstLine="0" w:firstLineChars="0"/>
        <w:rPr>
          <w:rFonts w:ascii="Times New Roman" w:eastAsia="仿宋"/>
          <w:b/>
          <w:color w:val="auto"/>
          <w:kern w:val="0"/>
          <w:szCs w:val="28"/>
        </w:rPr>
      </w:pPr>
      <w:r>
        <w:rPr>
          <w:rFonts w:ascii="Times New Roman" w:eastAsia="仿宋"/>
          <w:b/>
          <w:color w:val="auto"/>
          <w:kern w:val="0"/>
          <w:szCs w:val="28"/>
        </w:rPr>
        <w:t>3.</w:t>
      </w:r>
      <w:r>
        <w:rPr>
          <w:rFonts w:hint="eastAsia" w:ascii="Times New Roman" w:eastAsia="仿宋"/>
          <w:b/>
          <w:color w:val="auto"/>
          <w:kern w:val="0"/>
          <w:szCs w:val="28"/>
          <w:lang w:val="en-US" w:eastAsia="zh-CN"/>
        </w:rPr>
        <w:t>8</w:t>
      </w:r>
      <w:r>
        <w:rPr>
          <w:rFonts w:ascii="Times New Roman" w:eastAsia="仿宋"/>
          <w:b/>
          <w:color w:val="auto"/>
          <w:kern w:val="0"/>
          <w:szCs w:val="28"/>
        </w:rPr>
        <w:t>.2.1企业内部</w:t>
      </w:r>
      <w:r>
        <w:rPr>
          <w:rFonts w:ascii="Times New Roman" w:eastAsia="仿宋"/>
          <w:b/>
          <w:color w:val="auto"/>
        </w:rPr>
        <w:t>现有应急救援队伍</w:t>
      </w:r>
    </w:p>
    <w:p>
      <w:pPr>
        <w:widowControl w:val="0"/>
        <w:wordWrap/>
        <w:adjustRightInd w:val="0"/>
        <w:snapToGrid w:val="0"/>
        <w:spacing w:line="360" w:lineRule="auto"/>
        <w:ind w:firstLine="560" w:firstLineChars="200"/>
        <w:textAlignment w:val="auto"/>
        <w:rPr>
          <w:rFonts w:hint="default" w:ascii="Times New Roman" w:hAnsi="Times New Roman" w:eastAsia="仿宋_GB2312" w:cs="Times New Roman"/>
          <w:color w:val="auto"/>
          <w:sz w:val="28"/>
          <w:szCs w:val="28"/>
        </w:rPr>
      </w:pPr>
      <w:bookmarkStart w:id="66" w:name="_Toc516436376"/>
      <w:r>
        <w:rPr>
          <w:rFonts w:hint="default" w:ascii="Times New Roman" w:hAnsi="Times New Roman" w:eastAsia="仿宋_GB2312" w:cs="Times New Roman"/>
          <w:color w:val="auto"/>
          <w:sz w:val="28"/>
          <w:szCs w:val="28"/>
        </w:rPr>
        <w:t>企业组建了完整的突发环境事件的组织架构。成立了应急救援指挥部，下设抢险救援组、医疗保障组、通讯联络组、应急保障组，全面负责突发环境事件的应急工作。应急救援队伍还可从未受伤人员中选择健壮人员组建兼职救援队伍，在确保人身安全的情况下参与到应急救援中。企业内部应急救援组成人员见表3.</w:t>
      </w:r>
      <w:r>
        <w:rPr>
          <w:rFonts w:hint="eastAsia"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rPr>
        <w:t>-</w:t>
      </w:r>
      <w:r>
        <w:rPr>
          <w:rFonts w:hint="eastAsia"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w:t>
      </w:r>
    </w:p>
    <w:p>
      <w:pPr>
        <w:widowControl w:val="0"/>
        <w:wordWrap/>
        <w:adjustRightInd w:val="0"/>
        <w:snapToGrid w:val="0"/>
        <w:ind w:firstLine="562" w:firstLineChars="200"/>
        <w:jc w:val="center"/>
        <w:textAlignment w:val="auto"/>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表3.</w:t>
      </w:r>
      <w:r>
        <w:rPr>
          <w:rFonts w:hint="eastAsia" w:ascii="Times New Roman" w:hAnsi="Times New Roman" w:eastAsia="仿宋_GB2312" w:cs="Times New Roman"/>
          <w:b/>
          <w:bCs/>
          <w:color w:val="auto"/>
          <w:sz w:val="28"/>
          <w:szCs w:val="28"/>
          <w:lang w:val="en-US" w:eastAsia="zh-CN"/>
        </w:rPr>
        <w:t>8</w:t>
      </w:r>
      <w:r>
        <w:rPr>
          <w:rFonts w:hint="default" w:ascii="Times New Roman" w:hAnsi="Times New Roman" w:eastAsia="仿宋_GB2312" w:cs="Times New Roman"/>
          <w:b/>
          <w:bCs/>
          <w:color w:val="auto"/>
          <w:sz w:val="28"/>
          <w:szCs w:val="28"/>
        </w:rPr>
        <w:t>-</w:t>
      </w:r>
      <w:r>
        <w:rPr>
          <w:rFonts w:hint="eastAsia" w:ascii="Times New Roman" w:hAnsi="Times New Roman" w:eastAsia="仿宋_GB2312" w:cs="Times New Roman"/>
          <w:b/>
          <w:bCs/>
          <w:color w:val="auto"/>
          <w:sz w:val="28"/>
          <w:szCs w:val="28"/>
          <w:lang w:val="en-US" w:eastAsia="zh-CN"/>
        </w:rPr>
        <w:t>4</w:t>
      </w:r>
      <w:r>
        <w:rPr>
          <w:rFonts w:hint="default" w:ascii="Times New Roman" w:hAnsi="Times New Roman" w:eastAsia="仿宋_GB2312" w:cs="Times New Roman"/>
          <w:b/>
          <w:bCs/>
          <w:color w:val="auto"/>
          <w:sz w:val="28"/>
          <w:szCs w:val="28"/>
        </w:rPr>
        <w:t>企业内部应急救援组成人员</w:t>
      </w:r>
    </w:p>
    <w:tbl>
      <w:tblPr>
        <w:tblStyle w:val="21"/>
        <w:tblW w:w="9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848"/>
        <w:gridCol w:w="1913"/>
        <w:gridCol w:w="1856"/>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0" w:type="dxa"/>
            <w:gridSpan w:val="2"/>
            <w:vAlign w:val="center"/>
          </w:tcPr>
          <w:p>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岗位</w:t>
            </w:r>
          </w:p>
        </w:tc>
        <w:tc>
          <w:tcPr>
            <w:tcW w:w="1913" w:type="dxa"/>
            <w:vAlign w:val="center"/>
          </w:tcPr>
          <w:p>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姓名</w:t>
            </w:r>
          </w:p>
        </w:tc>
        <w:tc>
          <w:tcPr>
            <w:tcW w:w="1856" w:type="dxa"/>
            <w:vAlign w:val="center"/>
          </w:tcPr>
          <w:p>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职位</w:t>
            </w:r>
          </w:p>
        </w:tc>
        <w:tc>
          <w:tcPr>
            <w:tcW w:w="2058" w:type="dxa"/>
            <w:vAlign w:val="center"/>
          </w:tcPr>
          <w:p>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0" w:type="dxa"/>
            <w:gridSpan w:val="2"/>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总指挥</w:t>
            </w:r>
          </w:p>
        </w:tc>
        <w:tc>
          <w:tcPr>
            <w:tcW w:w="1913"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王爱军</w:t>
            </w:r>
          </w:p>
        </w:tc>
        <w:tc>
          <w:tcPr>
            <w:tcW w:w="1856"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总经理</w:t>
            </w:r>
          </w:p>
        </w:tc>
        <w:tc>
          <w:tcPr>
            <w:tcW w:w="2058"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13952186458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0" w:type="dxa"/>
            <w:gridSpan w:val="2"/>
            <w:vMerge w:val="restart"/>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副总指挥</w:t>
            </w:r>
          </w:p>
        </w:tc>
        <w:tc>
          <w:tcPr>
            <w:tcW w:w="1913"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黄立军</w:t>
            </w:r>
          </w:p>
        </w:tc>
        <w:tc>
          <w:tcPr>
            <w:tcW w:w="1856"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副总经理</w:t>
            </w:r>
          </w:p>
        </w:tc>
        <w:tc>
          <w:tcPr>
            <w:tcW w:w="2058"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13852041875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0" w:type="dxa"/>
            <w:gridSpan w:val="2"/>
            <w:vMerge w:val="continue"/>
            <w:vAlign w:val="center"/>
          </w:tcPr>
          <w:p>
            <w:pPr>
              <w:jc w:val="center"/>
              <w:rPr>
                <w:rFonts w:hint="default" w:ascii="Times New Roman" w:hAnsi="Times New Roman" w:eastAsia="仿宋" w:cs="Times New Roman"/>
                <w:color w:val="auto"/>
                <w:sz w:val="21"/>
                <w:szCs w:val="21"/>
              </w:rPr>
            </w:pPr>
          </w:p>
        </w:tc>
        <w:tc>
          <w:tcPr>
            <w:tcW w:w="1913"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乔亮</w:t>
            </w:r>
          </w:p>
        </w:tc>
        <w:tc>
          <w:tcPr>
            <w:tcW w:w="1856"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副总经理</w:t>
            </w:r>
          </w:p>
        </w:tc>
        <w:tc>
          <w:tcPr>
            <w:tcW w:w="2058"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13605202328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0" w:type="dxa"/>
            <w:gridSpan w:val="2"/>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应急办公室主任</w:t>
            </w:r>
          </w:p>
        </w:tc>
        <w:tc>
          <w:tcPr>
            <w:tcW w:w="191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闫德仲</w:t>
            </w:r>
          </w:p>
        </w:tc>
        <w:tc>
          <w:tcPr>
            <w:tcW w:w="1856"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副总经理</w:t>
            </w:r>
          </w:p>
        </w:tc>
        <w:tc>
          <w:tcPr>
            <w:tcW w:w="2058"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13905208578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Merge w:val="restart"/>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抢险救援组</w:t>
            </w:r>
          </w:p>
        </w:tc>
        <w:tc>
          <w:tcPr>
            <w:tcW w:w="1848"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组长</w:t>
            </w:r>
          </w:p>
        </w:tc>
        <w:tc>
          <w:tcPr>
            <w:tcW w:w="1913"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王若臣</w:t>
            </w:r>
          </w:p>
        </w:tc>
        <w:tc>
          <w:tcPr>
            <w:tcW w:w="1856"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生产部经理</w:t>
            </w:r>
          </w:p>
        </w:tc>
        <w:tc>
          <w:tcPr>
            <w:tcW w:w="2058"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15240491675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Merge w:val="continue"/>
            <w:vAlign w:val="center"/>
          </w:tcPr>
          <w:p>
            <w:pPr>
              <w:jc w:val="center"/>
              <w:rPr>
                <w:rFonts w:hint="default" w:ascii="Times New Roman" w:hAnsi="Times New Roman" w:eastAsia="仿宋" w:cs="Times New Roman"/>
                <w:color w:val="auto"/>
                <w:sz w:val="21"/>
                <w:szCs w:val="21"/>
              </w:rPr>
            </w:pPr>
          </w:p>
        </w:tc>
        <w:tc>
          <w:tcPr>
            <w:tcW w:w="1848"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组员</w:t>
            </w:r>
          </w:p>
        </w:tc>
        <w:tc>
          <w:tcPr>
            <w:tcW w:w="1913"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黄庆</w:t>
            </w:r>
          </w:p>
        </w:tc>
        <w:tc>
          <w:tcPr>
            <w:tcW w:w="1856"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生产部副经理</w:t>
            </w:r>
          </w:p>
        </w:tc>
        <w:tc>
          <w:tcPr>
            <w:tcW w:w="2058"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15150948490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Merge w:val="continue"/>
            <w:vAlign w:val="center"/>
          </w:tcPr>
          <w:p>
            <w:pPr>
              <w:jc w:val="center"/>
              <w:rPr>
                <w:rFonts w:hint="default" w:ascii="Times New Roman" w:hAnsi="Times New Roman" w:eastAsia="仿宋" w:cs="Times New Roman"/>
                <w:color w:val="auto"/>
                <w:sz w:val="21"/>
                <w:szCs w:val="21"/>
              </w:rPr>
            </w:pPr>
          </w:p>
        </w:tc>
        <w:tc>
          <w:tcPr>
            <w:tcW w:w="1848"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组员</w:t>
            </w:r>
          </w:p>
        </w:tc>
        <w:tc>
          <w:tcPr>
            <w:tcW w:w="1913"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李北京</w:t>
            </w:r>
          </w:p>
        </w:tc>
        <w:tc>
          <w:tcPr>
            <w:tcW w:w="1856"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生产管理员</w:t>
            </w:r>
          </w:p>
        </w:tc>
        <w:tc>
          <w:tcPr>
            <w:tcW w:w="2058"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13382683229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Merge w:val="restart"/>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医疗保障组</w:t>
            </w:r>
          </w:p>
        </w:tc>
        <w:tc>
          <w:tcPr>
            <w:tcW w:w="1848"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组长</w:t>
            </w:r>
          </w:p>
        </w:tc>
        <w:tc>
          <w:tcPr>
            <w:tcW w:w="1913"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童媛</w:t>
            </w:r>
          </w:p>
        </w:tc>
        <w:tc>
          <w:tcPr>
            <w:tcW w:w="1856"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行政部经理</w:t>
            </w:r>
          </w:p>
        </w:tc>
        <w:tc>
          <w:tcPr>
            <w:tcW w:w="2058"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15150079997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Merge w:val="continue"/>
            <w:vAlign w:val="center"/>
          </w:tcPr>
          <w:p>
            <w:pPr>
              <w:jc w:val="center"/>
              <w:rPr>
                <w:rFonts w:hint="default" w:ascii="Times New Roman" w:hAnsi="Times New Roman" w:eastAsia="仿宋" w:cs="Times New Roman"/>
                <w:color w:val="auto"/>
                <w:sz w:val="21"/>
                <w:szCs w:val="21"/>
              </w:rPr>
            </w:pPr>
          </w:p>
        </w:tc>
        <w:tc>
          <w:tcPr>
            <w:tcW w:w="1848"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组员</w:t>
            </w:r>
          </w:p>
        </w:tc>
        <w:tc>
          <w:tcPr>
            <w:tcW w:w="1913"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高维良</w:t>
            </w:r>
          </w:p>
        </w:tc>
        <w:tc>
          <w:tcPr>
            <w:tcW w:w="1856"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行政部副经理</w:t>
            </w:r>
          </w:p>
        </w:tc>
        <w:tc>
          <w:tcPr>
            <w:tcW w:w="2058"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13852065988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Merge w:val="continue"/>
            <w:vAlign w:val="center"/>
          </w:tcPr>
          <w:p>
            <w:pPr>
              <w:jc w:val="center"/>
              <w:rPr>
                <w:rFonts w:hint="default" w:ascii="Times New Roman" w:hAnsi="Times New Roman" w:eastAsia="仿宋" w:cs="Times New Roman"/>
                <w:color w:val="auto"/>
                <w:sz w:val="21"/>
                <w:szCs w:val="21"/>
              </w:rPr>
            </w:pPr>
          </w:p>
        </w:tc>
        <w:tc>
          <w:tcPr>
            <w:tcW w:w="1848"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组员</w:t>
            </w:r>
          </w:p>
        </w:tc>
        <w:tc>
          <w:tcPr>
            <w:tcW w:w="1913"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佟玲</w:t>
            </w:r>
          </w:p>
        </w:tc>
        <w:tc>
          <w:tcPr>
            <w:tcW w:w="1856"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行政助理</w:t>
            </w:r>
          </w:p>
        </w:tc>
        <w:tc>
          <w:tcPr>
            <w:tcW w:w="2058"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15996949712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Merge w:val="restart"/>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通讯联络组</w:t>
            </w:r>
          </w:p>
        </w:tc>
        <w:tc>
          <w:tcPr>
            <w:tcW w:w="1848"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组长</w:t>
            </w:r>
          </w:p>
        </w:tc>
        <w:tc>
          <w:tcPr>
            <w:tcW w:w="1913"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佟莉</w:t>
            </w:r>
          </w:p>
        </w:tc>
        <w:tc>
          <w:tcPr>
            <w:tcW w:w="1856"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技术部经理</w:t>
            </w:r>
          </w:p>
        </w:tc>
        <w:tc>
          <w:tcPr>
            <w:tcW w:w="2058"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13852143551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Merge w:val="continue"/>
            <w:vAlign w:val="center"/>
          </w:tcPr>
          <w:p>
            <w:pPr>
              <w:jc w:val="center"/>
              <w:rPr>
                <w:rFonts w:hint="default" w:ascii="Times New Roman" w:hAnsi="Times New Roman" w:eastAsia="仿宋" w:cs="Times New Roman"/>
                <w:color w:val="auto"/>
                <w:sz w:val="21"/>
                <w:szCs w:val="21"/>
              </w:rPr>
            </w:pPr>
          </w:p>
        </w:tc>
        <w:tc>
          <w:tcPr>
            <w:tcW w:w="1848"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组员</w:t>
            </w:r>
          </w:p>
        </w:tc>
        <w:tc>
          <w:tcPr>
            <w:tcW w:w="1913"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张计新</w:t>
            </w:r>
          </w:p>
        </w:tc>
        <w:tc>
          <w:tcPr>
            <w:tcW w:w="1856"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实验室主任</w:t>
            </w:r>
          </w:p>
        </w:tc>
        <w:tc>
          <w:tcPr>
            <w:tcW w:w="2058"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15205143195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Merge w:val="continue"/>
            <w:vAlign w:val="center"/>
          </w:tcPr>
          <w:p>
            <w:pPr>
              <w:jc w:val="center"/>
              <w:rPr>
                <w:rFonts w:hint="default" w:ascii="Times New Roman" w:hAnsi="Times New Roman" w:eastAsia="仿宋" w:cs="Times New Roman"/>
                <w:color w:val="auto"/>
                <w:sz w:val="21"/>
                <w:szCs w:val="21"/>
              </w:rPr>
            </w:pPr>
          </w:p>
        </w:tc>
        <w:tc>
          <w:tcPr>
            <w:tcW w:w="1848"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组员</w:t>
            </w:r>
          </w:p>
        </w:tc>
        <w:tc>
          <w:tcPr>
            <w:tcW w:w="1913"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孙海北</w:t>
            </w:r>
          </w:p>
        </w:tc>
        <w:tc>
          <w:tcPr>
            <w:tcW w:w="1856"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实验主管</w:t>
            </w:r>
          </w:p>
        </w:tc>
        <w:tc>
          <w:tcPr>
            <w:tcW w:w="2058"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15852318439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Merge w:val="restart"/>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应急保障组</w:t>
            </w:r>
          </w:p>
        </w:tc>
        <w:tc>
          <w:tcPr>
            <w:tcW w:w="1848"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组长</w:t>
            </w:r>
          </w:p>
        </w:tc>
        <w:tc>
          <w:tcPr>
            <w:tcW w:w="1913"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杲伟锋</w:t>
            </w:r>
          </w:p>
        </w:tc>
        <w:tc>
          <w:tcPr>
            <w:tcW w:w="1856"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采购部经理</w:t>
            </w:r>
          </w:p>
        </w:tc>
        <w:tc>
          <w:tcPr>
            <w:tcW w:w="2058"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15189465375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Merge w:val="continue"/>
            <w:vAlign w:val="center"/>
          </w:tcPr>
          <w:p>
            <w:pPr>
              <w:jc w:val="center"/>
              <w:rPr>
                <w:rFonts w:hint="default" w:ascii="Times New Roman" w:hAnsi="Times New Roman" w:eastAsia="仿宋" w:cs="Times New Roman"/>
                <w:color w:val="auto"/>
                <w:sz w:val="21"/>
                <w:szCs w:val="21"/>
              </w:rPr>
            </w:pPr>
          </w:p>
        </w:tc>
        <w:tc>
          <w:tcPr>
            <w:tcW w:w="1848"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组员</w:t>
            </w:r>
          </w:p>
        </w:tc>
        <w:tc>
          <w:tcPr>
            <w:tcW w:w="1913"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刘治中</w:t>
            </w:r>
          </w:p>
        </w:tc>
        <w:tc>
          <w:tcPr>
            <w:tcW w:w="1856"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采购助理</w:t>
            </w:r>
          </w:p>
        </w:tc>
        <w:tc>
          <w:tcPr>
            <w:tcW w:w="2058"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15996915209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dxa"/>
            <w:vMerge w:val="continue"/>
            <w:vAlign w:val="center"/>
          </w:tcPr>
          <w:p>
            <w:pPr>
              <w:jc w:val="center"/>
              <w:rPr>
                <w:rFonts w:hint="default" w:ascii="Times New Roman" w:hAnsi="Times New Roman" w:eastAsia="仿宋" w:cs="Times New Roman"/>
                <w:color w:val="auto"/>
                <w:sz w:val="21"/>
                <w:szCs w:val="21"/>
              </w:rPr>
            </w:pPr>
          </w:p>
        </w:tc>
        <w:tc>
          <w:tcPr>
            <w:tcW w:w="1848"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组员</w:t>
            </w:r>
          </w:p>
        </w:tc>
        <w:tc>
          <w:tcPr>
            <w:tcW w:w="1913"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张晟铭</w:t>
            </w:r>
          </w:p>
        </w:tc>
        <w:tc>
          <w:tcPr>
            <w:tcW w:w="1856"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采购助理</w:t>
            </w:r>
          </w:p>
        </w:tc>
        <w:tc>
          <w:tcPr>
            <w:tcW w:w="2058" w:type="dxa"/>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18952234660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0" w:type="dxa"/>
            <w:gridSpan w:val="2"/>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24小时应急电话(固话)</w:t>
            </w:r>
          </w:p>
        </w:tc>
        <w:tc>
          <w:tcPr>
            <w:tcW w:w="5827" w:type="dxa"/>
            <w:gridSpan w:val="3"/>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0516-69850385</w:t>
            </w:r>
          </w:p>
        </w:tc>
      </w:tr>
    </w:tbl>
    <w:p>
      <w:pPr>
        <w:pStyle w:val="5"/>
        <w:spacing w:line="360" w:lineRule="auto"/>
        <w:rPr>
          <w:rFonts w:hint="eastAsia"/>
          <w:color w:val="auto"/>
        </w:rPr>
      </w:pPr>
      <w:bookmarkStart w:id="67" w:name="_Toc29817"/>
      <w:r>
        <w:rPr>
          <w:rFonts w:hint="default" w:ascii="Times New Roman" w:hAnsi="Times New Roman" w:cs="Times New Roman"/>
          <w:b/>
          <w:bCs/>
          <w:color w:val="auto"/>
          <w:lang w:val="en-US" w:eastAsia="zh-CN"/>
        </w:rPr>
        <w:t>3.</w:t>
      </w:r>
      <w:r>
        <w:rPr>
          <w:rFonts w:hint="eastAsia" w:ascii="Times New Roman" w:hAnsi="Times New Roman" w:cs="Times New Roman"/>
          <w:b/>
          <w:bCs/>
          <w:color w:val="auto"/>
          <w:lang w:val="en-US" w:eastAsia="zh-CN"/>
        </w:rPr>
        <w:t>9</w:t>
      </w:r>
      <w:r>
        <w:rPr>
          <w:rFonts w:hint="default" w:ascii="Times New Roman" w:hAnsi="Times New Roman" w:cs="Times New Roman"/>
          <w:b/>
          <w:bCs/>
          <w:color w:val="auto"/>
          <w:lang w:val="en-US" w:eastAsia="zh-CN"/>
        </w:rPr>
        <w:t xml:space="preserve"> 风险单元风险识别</w:t>
      </w:r>
      <w:bookmarkEnd w:id="67"/>
      <w:r>
        <w:rPr>
          <w:rFonts w:hint="eastAsia"/>
          <w:color w:val="auto"/>
          <w:lang w:val="en-US" w:eastAsia="zh-CN"/>
        </w:rPr>
        <w:t xml:space="preserve"> </w:t>
      </w:r>
    </w:p>
    <w:p>
      <w:pPr>
        <w:widowControl w:val="0"/>
        <w:wordWrap/>
        <w:adjustRightInd/>
        <w:snapToGrid/>
        <w:spacing w:line="360" w:lineRule="auto"/>
        <w:ind w:firstLine="560"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我公司主要风险单元为危化品</w:t>
      </w:r>
      <w:r>
        <w:rPr>
          <w:rFonts w:hint="eastAsia" w:ascii="Times New Roman" w:hAnsi="Times New Roman" w:eastAsia="仿宋_GB2312" w:cs="Times New Roman"/>
          <w:color w:val="auto"/>
          <w:sz w:val="28"/>
          <w:szCs w:val="28"/>
          <w:lang w:val="en-US" w:eastAsia="zh-CN"/>
        </w:rPr>
        <w:t>仓库</w:t>
      </w:r>
      <w:r>
        <w:rPr>
          <w:rFonts w:hint="default" w:ascii="Times New Roman" w:hAnsi="Times New Roman" w:eastAsia="仿宋_GB2312" w:cs="Times New Roman"/>
          <w:color w:val="auto"/>
          <w:sz w:val="28"/>
          <w:szCs w:val="28"/>
          <w:lang w:val="en-US" w:eastAsia="zh-CN"/>
        </w:rPr>
        <w:t>、罐区、</w:t>
      </w:r>
      <w:r>
        <w:rPr>
          <w:rFonts w:hint="eastAsia" w:ascii="Times New Roman" w:hAnsi="Times New Roman" w:eastAsia="仿宋_GB2312" w:cs="Times New Roman"/>
          <w:color w:val="auto"/>
          <w:sz w:val="28"/>
          <w:szCs w:val="28"/>
          <w:lang w:val="en-US" w:eastAsia="zh-CN"/>
        </w:rPr>
        <w:t>生产车间、</w:t>
      </w:r>
      <w:r>
        <w:rPr>
          <w:rFonts w:hint="default" w:ascii="Times New Roman" w:hAnsi="Times New Roman" w:eastAsia="仿宋_GB2312" w:cs="Times New Roman"/>
          <w:color w:val="auto"/>
          <w:sz w:val="28"/>
          <w:szCs w:val="28"/>
          <w:lang w:val="en-US" w:eastAsia="zh-CN"/>
        </w:rPr>
        <w:t>废水处理设施、废气处理设施及危废库，可能发生的风险事故类型见表3.</w:t>
      </w:r>
      <w:r>
        <w:rPr>
          <w:rFonts w:hint="eastAsia"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val="en-US" w:eastAsia="zh-CN"/>
        </w:rPr>
        <w:t>-1：</w:t>
      </w:r>
    </w:p>
    <w:p>
      <w:pPr>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表3.</w:t>
      </w:r>
      <w:r>
        <w:rPr>
          <w:rFonts w:hint="eastAsia"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val="en-US" w:eastAsia="zh-CN"/>
        </w:rPr>
        <w:t>-1风险单元识别表</w:t>
      </w:r>
    </w:p>
    <w:tbl>
      <w:tblPr>
        <w:tblStyle w:val="21"/>
        <w:tblW w:w="10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0"/>
        <w:gridCol w:w="3735"/>
        <w:gridCol w:w="2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0" w:type="dxa"/>
            <w:vAlign w:val="center"/>
          </w:tcPr>
          <w:p>
            <w:pPr>
              <w:widowControl/>
              <w:jc w:val="center"/>
              <w:rPr>
                <w:b/>
                <w:bCs/>
                <w:color w:val="auto"/>
                <w:sz w:val="21"/>
                <w:szCs w:val="21"/>
              </w:rPr>
            </w:pPr>
            <w:r>
              <w:rPr>
                <w:rFonts w:ascii="仿宋" w:hAnsi="仿宋" w:eastAsia="仿宋" w:cs="仿宋"/>
                <w:b/>
                <w:bCs/>
                <w:color w:val="auto"/>
                <w:kern w:val="0"/>
                <w:sz w:val="21"/>
                <w:szCs w:val="21"/>
                <w:lang w:val="en-US" w:eastAsia="zh-CN"/>
              </w:rPr>
              <w:t>风险单元</w:t>
            </w:r>
          </w:p>
        </w:tc>
        <w:tc>
          <w:tcPr>
            <w:tcW w:w="3735" w:type="dxa"/>
            <w:vAlign w:val="center"/>
          </w:tcPr>
          <w:p>
            <w:pPr>
              <w:pStyle w:val="29"/>
              <w:jc w:val="center"/>
              <w:rPr>
                <w:b/>
                <w:bCs/>
                <w:color w:val="auto"/>
                <w:sz w:val="21"/>
                <w:szCs w:val="21"/>
              </w:rPr>
            </w:pPr>
            <w:r>
              <w:rPr>
                <w:rFonts w:ascii="仿宋" w:hAnsi="仿宋" w:eastAsia="仿宋" w:cs="仿宋"/>
                <w:b/>
                <w:bCs/>
                <w:color w:val="auto"/>
                <w:kern w:val="0"/>
                <w:sz w:val="21"/>
                <w:szCs w:val="21"/>
                <w:lang w:val="en-US" w:eastAsia="zh-CN"/>
              </w:rPr>
              <w:t>风险物质</w:t>
            </w:r>
          </w:p>
        </w:tc>
        <w:tc>
          <w:tcPr>
            <w:tcW w:w="2987" w:type="dxa"/>
            <w:vAlign w:val="center"/>
          </w:tcPr>
          <w:p>
            <w:pPr>
              <w:pStyle w:val="29"/>
              <w:jc w:val="center"/>
              <w:rPr>
                <w:b/>
                <w:bCs/>
                <w:color w:val="auto"/>
                <w:sz w:val="21"/>
                <w:szCs w:val="21"/>
              </w:rPr>
            </w:pPr>
            <w:r>
              <w:rPr>
                <w:rFonts w:ascii="仿宋" w:hAnsi="仿宋" w:eastAsia="仿宋" w:cs="仿宋"/>
                <w:b/>
                <w:bCs/>
                <w:color w:val="auto"/>
                <w:kern w:val="0"/>
                <w:sz w:val="21"/>
                <w:szCs w:val="21"/>
                <w:lang w:val="en-US" w:eastAsia="zh-CN"/>
              </w:rPr>
              <w:t>风险类型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0" w:type="dxa"/>
            <w:vAlign w:val="center"/>
          </w:tcPr>
          <w:p>
            <w:pPr>
              <w:widowControl/>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危险化学品仓库</w:t>
            </w:r>
          </w:p>
        </w:tc>
        <w:tc>
          <w:tcPr>
            <w:tcW w:w="3735" w:type="dxa"/>
            <w:vAlign w:val="center"/>
          </w:tcPr>
          <w:p>
            <w:pPr>
              <w:widowControl/>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双氧水、巯基丙酸</w:t>
            </w:r>
          </w:p>
        </w:tc>
        <w:tc>
          <w:tcPr>
            <w:tcW w:w="2987" w:type="dxa"/>
            <w:vAlign w:val="center"/>
          </w:tcPr>
          <w:p>
            <w:pPr>
              <w:widowControl/>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泄露引发的环境污染事故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0" w:type="dxa"/>
            <w:vAlign w:val="center"/>
          </w:tcPr>
          <w:p>
            <w:pPr>
              <w:pStyle w:val="29"/>
              <w:jc w:val="center"/>
              <w:rPr>
                <w:rFonts w:hint="default" w:eastAsia="宋体"/>
                <w:color w:val="auto"/>
                <w:sz w:val="21"/>
                <w:szCs w:val="21"/>
                <w:lang w:val="en-US" w:eastAsia="zh-CN"/>
              </w:rPr>
            </w:pPr>
            <w:r>
              <w:rPr>
                <w:rFonts w:hint="default" w:ascii="仿宋" w:hAnsi="仿宋" w:eastAsia="仿宋" w:cs="仿宋"/>
                <w:color w:val="auto"/>
                <w:kern w:val="0"/>
                <w:sz w:val="21"/>
                <w:szCs w:val="21"/>
                <w:lang w:val="en-US" w:eastAsia="zh-CN"/>
              </w:rPr>
              <w:t>罐区</w:t>
            </w:r>
          </w:p>
        </w:tc>
        <w:tc>
          <w:tcPr>
            <w:tcW w:w="3735" w:type="dxa"/>
            <w:vAlign w:val="center"/>
          </w:tcPr>
          <w:p>
            <w:pPr>
              <w:pStyle w:val="29"/>
              <w:jc w:val="center"/>
              <w:rPr>
                <w:rFonts w:hint="eastAsia" w:eastAsia="宋体"/>
                <w:color w:val="auto"/>
                <w:sz w:val="21"/>
                <w:szCs w:val="21"/>
                <w:lang w:eastAsia="zh-CN"/>
              </w:rPr>
            </w:pPr>
            <w:r>
              <w:rPr>
                <w:rFonts w:hint="eastAsia" w:ascii="仿宋" w:hAnsi="仿宋" w:eastAsia="仿宋" w:cs="仿宋"/>
                <w:color w:val="auto"/>
                <w:kern w:val="0"/>
                <w:sz w:val="21"/>
                <w:szCs w:val="21"/>
                <w:lang w:val="en-US" w:eastAsia="zh-CN"/>
              </w:rPr>
              <w:t>液碱、聚醚、丙烯酸、外加剂成品</w:t>
            </w:r>
          </w:p>
        </w:tc>
        <w:tc>
          <w:tcPr>
            <w:tcW w:w="2987" w:type="dxa"/>
            <w:vAlign w:val="center"/>
          </w:tcPr>
          <w:p>
            <w:pPr>
              <w:pStyle w:val="29"/>
              <w:jc w:val="center"/>
              <w:rPr>
                <w:rFonts w:hint="eastAsia" w:eastAsia="宋体"/>
                <w:color w:val="auto"/>
                <w:sz w:val="21"/>
                <w:szCs w:val="21"/>
                <w:lang w:eastAsia="zh-CN"/>
              </w:rPr>
            </w:pPr>
            <w:r>
              <w:rPr>
                <w:rFonts w:hint="eastAsia" w:ascii="仿宋" w:hAnsi="仿宋" w:eastAsia="仿宋" w:cs="仿宋"/>
                <w:color w:val="auto"/>
                <w:kern w:val="0"/>
                <w:sz w:val="21"/>
                <w:szCs w:val="21"/>
                <w:lang w:val="en-US" w:eastAsia="zh-CN"/>
              </w:rPr>
              <w:t>火灾、爆炸、环境污染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0" w:type="dxa"/>
            <w:vAlign w:val="center"/>
          </w:tcPr>
          <w:p>
            <w:pPr>
              <w:pStyle w:val="29"/>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生产车间</w:t>
            </w:r>
          </w:p>
        </w:tc>
        <w:tc>
          <w:tcPr>
            <w:tcW w:w="3735" w:type="dxa"/>
            <w:vAlign w:val="center"/>
          </w:tcPr>
          <w:p>
            <w:pPr>
              <w:widowControl/>
              <w:jc w:val="center"/>
              <w:rPr>
                <w:color w:val="auto"/>
                <w:sz w:val="21"/>
                <w:szCs w:val="21"/>
              </w:rPr>
            </w:pPr>
            <w:r>
              <w:rPr>
                <w:rFonts w:hint="eastAsia" w:ascii="仿宋" w:hAnsi="仿宋" w:eastAsia="仿宋" w:cs="仿宋"/>
                <w:color w:val="auto"/>
                <w:kern w:val="0"/>
                <w:sz w:val="21"/>
                <w:szCs w:val="21"/>
                <w:lang w:val="en-US" w:eastAsia="zh-CN"/>
              </w:rPr>
              <w:t>双氧水、巯基丙酸液碱、聚醚、丙烯酸</w:t>
            </w:r>
          </w:p>
        </w:tc>
        <w:tc>
          <w:tcPr>
            <w:tcW w:w="2987" w:type="dxa"/>
            <w:vAlign w:val="center"/>
          </w:tcPr>
          <w:p>
            <w:pPr>
              <w:pStyle w:val="29"/>
              <w:jc w:val="center"/>
              <w:rPr>
                <w:color w:val="auto"/>
                <w:sz w:val="21"/>
                <w:szCs w:val="21"/>
              </w:rPr>
            </w:pPr>
            <w:r>
              <w:rPr>
                <w:rFonts w:hint="eastAsia" w:ascii="仿宋" w:hAnsi="仿宋" w:eastAsia="仿宋" w:cs="仿宋"/>
                <w:color w:val="auto"/>
                <w:kern w:val="0"/>
                <w:sz w:val="21"/>
                <w:szCs w:val="21"/>
                <w:lang w:val="en-US" w:eastAsia="zh-CN"/>
              </w:rPr>
              <w:t>火灾、爆炸、环境污染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0" w:type="dxa"/>
            <w:vAlign w:val="center"/>
          </w:tcPr>
          <w:p>
            <w:pPr>
              <w:pStyle w:val="29"/>
              <w:jc w:val="center"/>
              <w:rPr>
                <w:rFonts w:hint="default" w:ascii="仿宋" w:hAnsi="仿宋" w:eastAsia="仿宋" w:cs="仿宋"/>
                <w:color w:val="auto"/>
                <w:kern w:val="0"/>
                <w:sz w:val="21"/>
                <w:szCs w:val="21"/>
                <w:lang w:val="en-US" w:eastAsia="zh-CN"/>
              </w:rPr>
            </w:pPr>
            <w:r>
              <w:rPr>
                <w:rFonts w:hint="default" w:ascii="仿宋" w:hAnsi="仿宋" w:eastAsia="仿宋" w:cs="仿宋"/>
                <w:color w:val="auto"/>
                <w:kern w:val="0"/>
                <w:sz w:val="21"/>
                <w:szCs w:val="21"/>
                <w:lang w:val="en-US" w:eastAsia="zh-CN"/>
              </w:rPr>
              <w:t>废气处理设施</w:t>
            </w:r>
          </w:p>
        </w:tc>
        <w:tc>
          <w:tcPr>
            <w:tcW w:w="3735" w:type="dxa"/>
            <w:vAlign w:val="center"/>
          </w:tcPr>
          <w:p>
            <w:pPr>
              <w:pStyle w:val="29"/>
              <w:jc w:val="center"/>
              <w:rPr>
                <w:rFonts w:hint="eastAsia" w:eastAsia="宋体"/>
                <w:color w:val="auto"/>
                <w:sz w:val="21"/>
                <w:szCs w:val="21"/>
                <w:lang w:eastAsia="zh-CN"/>
              </w:rPr>
            </w:pPr>
            <w:r>
              <w:rPr>
                <w:rFonts w:hint="eastAsia" w:ascii="仿宋" w:hAnsi="仿宋" w:eastAsia="仿宋" w:cs="仿宋"/>
                <w:color w:val="auto"/>
                <w:kern w:val="0"/>
                <w:sz w:val="21"/>
                <w:szCs w:val="21"/>
                <w:lang w:val="en-US" w:eastAsia="zh-CN"/>
              </w:rPr>
              <w:t>有机废气</w:t>
            </w:r>
          </w:p>
        </w:tc>
        <w:tc>
          <w:tcPr>
            <w:tcW w:w="2987" w:type="dxa"/>
            <w:vAlign w:val="center"/>
          </w:tcPr>
          <w:p>
            <w:pPr>
              <w:widowControl/>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超标排放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0" w:type="dxa"/>
            <w:vAlign w:val="center"/>
          </w:tcPr>
          <w:p>
            <w:pPr>
              <w:pStyle w:val="29"/>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废水处理设施</w:t>
            </w:r>
          </w:p>
        </w:tc>
        <w:tc>
          <w:tcPr>
            <w:tcW w:w="3735" w:type="dxa"/>
            <w:vAlign w:val="center"/>
          </w:tcPr>
          <w:p>
            <w:pPr>
              <w:pStyle w:val="29"/>
              <w:jc w:val="center"/>
              <w:rPr>
                <w:rFonts w:hint="default" w:ascii="仿宋" w:hAnsi="仿宋" w:eastAsia="仿宋" w:cs="仿宋"/>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pH、</w:t>
            </w:r>
            <w:r>
              <w:rPr>
                <w:rFonts w:hint="default" w:ascii="Times New Roman" w:hAnsi="Times New Roman" w:eastAsia="仿宋" w:cs="Times New Roman"/>
                <w:color w:val="auto"/>
                <w:kern w:val="0"/>
                <w:sz w:val="21"/>
                <w:szCs w:val="21"/>
                <w:lang w:val="en-US" w:eastAsia="zh-CN"/>
              </w:rPr>
              <w:t>COD</w:t>
            </w:r>
            <w:r>
              <w:rPr>
                <w:rFonts w:hint="eastAsia" w:ascii="Times New Roman" w:hAnsi="Times New Roman" w:eastAsia="仿宋" w:cs="Times New Roman"/>
                <w:color w:val="auto"/>
                <w:kern w:val="0"/>
                <w:sz w:val="21"/>
                <w:szCs w:val="21"/>
                <w:lang w:val="en-US" w:eastAsia="zh-CN"/>
              </w:rPr>
              <w:t>等</w:t>
            </w:r>
          </w:p>
        </w:tc>
        <w:tc>
          <w:tcPr>
            <w:tcW w:w="2987" w:type="dxa"/>
            <w:vAlign w:val="center"/>
          </w:tcPr>
          <w:p>
            <w:pPr>
              <w:widowControl/>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超标排放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0" w:type="dxa"/>
            <w:vAlign w:val="center"/>
          </w:tcPr>
          <w:p>
            <w:pPr>
              <w:widowControl/>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危废库</w:t>
            </w:r>
          </w:p>
        </w:tc>
        <w:tc>
          <w:tcPr>
            <w:tcW w:w="3735" w:type="dxa"/>
            <w:vAlign w:val="center"/>
          </w:tcPr>
          <w:p>
            <w:pPr>
              <w:widowControl/>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危险废物</w:t>
            </w:r>
          </w:p>
        </w:tc>
        <w:tc>
          <w:tcPr>
            <w:tcW w:w="2987" w:type="dxa"/>
            <w:vAlign w:val="center"/>
          </w:tcPr>
          <w:p>
            <w:pPr>
              <w:widowControl/>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环境事故</w:t>
            </w:r>
          </w:p>
        </w:tc>
      </w:tr>
    </w:tbl>
    <w:p>
      <w:pPr>
        <w:pStyle w:val="29"/>
        <w:rPr>
          <w:color w:val="auto"/>
        </w:rPr>
      </w:pPr>
    </w:p>
    <w:p>
      <w:pPr>
        <w:rPr>
          <w:color w:val="auto"/>
        </w:rPr>
      </w:pPr>
    </w:p>
    <w:p>
      <w:pPr>
        <w:rPr>
          <w:rFonts w:ascii="Times New Roman"/>
          <w:b/>
          <w:bCs/>
          <w:color w:val="auto"/>
        </w:rPr>
      </w:pPr>
    </w:p>
    <w:p>
      <w:pPr>
        <w:pStyle w:val="4"/>
        <w:keepNext/>
        <w:keepLines/>
        <w:widowControl w:val="0"/>
        <w:wordWrap/>
        <w:adjustRightInd w:val="0"/>
        <w:snapToGrid w:val="0"/>
        <w:spacing w:before="0" w:beforeAutospacing="0" w:line="360" w:lineRule="auto"/>
        <w:ind w:left="0"/>
        <w:jc w:val="both"/>
        <w:textAlignment w:val="auto"/>
        <w:outlineLvl w:val="0"/>
        <w:rPr>
          <w:rFonts w:ascii="Times New Roman"/>
          <w:b/>
          <w:bCs/>
          <w:color w:val="auto"/>
          <w:sz w:val="32"/>
          <w:szCs w:val="32"/>
        </w:rPr>
      </w:pPr>
      <w:bookmarkStart w:id="68" w:name="_Toc14468"/>
      <w:r>
        <w:rPr>
          <w:rFonts w:ascii="Times New Roman"/>
          <w:b/>
          <w:bCs/>
          <w:color w:val="auto"/>
          <w:sz w:val="32"/>
          <w:szCs w:val="32"/>
        </w:rPr>
        <w:t>4</w:t>
      </w:r>
      <w:r>
        <w:rPr>
          <w:rFonts w:hint="eastAsia" w:ascii="Times New Roman"/>
          <w:b/>
          <w:bCs/>
          <w:color w:val="auto"/>
          <w:sz w:val="32"/>
          <w:szCs w:val="32"/>
          <w:lang w:val="en-US" w:eastAsia="zh-CN"/>
        </w:rPr>
        <w:t xml:space="preserve"> </w:t>
      </w:r>
      <w:r>
        <w:rPr>
          <w:rFonts w:ascii="Times New Roman"/>
          <w:b/>
          <w:bCs/>
          <w:color w:val="auto"/>
          <w:sz w:val="32"/>
          <w:szCs w:val="32"/>
        </w:rPr>
        <w:t>突发环境事件及其后果分析</w:t>
      </w:r>
      <w:bookmarkEnd w:id="66"/>
      <w:bookmarkEnd w:id="68"/>
    </w:p>
    <w:p>
      <w:pPr>
        <w:pStyle w:val="5"/>
        <w:keepNext/>
        <w:keepLines/>
        <w:widowControl w:val="0"/>
        <w:wordWrap/>
        <w:adjustRightInd w:val="0"/>
        <w:snapToGrid w:val="0"/>
        <w:spacing w:before="0" w:beforeAutospacing="0" w:line="360" w:lineRule="auto"/>
        <w:ind w:left="0"/>
        <w:jc w:val="both"/>
        <w:textAlignment w:val="auto"/>
        <w:rPr>
          <w:rFonts w:hint="default" w:ascii="Times New Roman" w:hAnsi="Times New Roman" w:eastAsia="仿宋" w:cs="Times New Roman"/>
          <w:b/>
          <w:color w:val="auto"/>
          <w:sz w:val="30"/>
          <w:szCs w:val="30"/>
          <w:lang w:eastAsia="zh-CN"/>
        </w:rPr>
      </w:pPr>
      <w:bookmarkStart w:id="69" w:name="_Toc28831"/>
      <w:bookmarkStart w:id="70" w:name="_Toc516436377"/>
      <w:r>
        <w:rPr>
          <w:rFonts w:hint="default" w:ascii="Times New Roman" w:hAnsi="Times New Roman" w:eastAsia="仿宋" w:cs="Times New Roman"/>
          <w:b/>
          <w:color w:val="auto"/>
          <w:sz w:val="30"/>
          <w:szCs w:val="30"/>
        </w:rPr>
        <w:t>4.1</w:t>
      </w:r>
      <w:r>
        <w:rPr>
          <w:rFonts w:hint="eastAsia" w:ascii="Times New Roman" w:hAnsi="Times New Roman" w:cs="Times New Roman"/>
          <w:b/>
          <w:color w:val="auto"/>
          <w:sz w:val="30"/>
          <w:szCs w:val="30"/>
          <w:lang w:val="en-US" w:eastAsia="zh-CN"/>
        </w:rPr>
        <w:t xml:space="preserve"> </w:t>
      </w:r>
      <w:r>
        <w:rPr>
          <w:rFonts w:hint="default" w:ascii="Times New Roman" w:hAnsi="Times New Roman" w:eastAsia="仿宋" w:cs="Times New Roman"/>
          <w:b/>
          <w:color w:val="auto"/>
          <w:sz w:val="30"/>
          <w:szCs w:val="30"/>
          <w:lang w:eastAsia="zh-CN"/>
        </w:rPr>
        <w:t>突发环境事件情景分析</w:t>
      </w:r>
      <w:bookmarkEnd w:id="69"/>
    </w:p>
    <w:p>
      <w:pPr>
        <w:pStyle w:val="6"/>
        <w:keepNext/>
        <w:keepLines/>
        <w:widowControl w:val="0"/>
        <w:wordWrap/>
        <w:adjustRightInd w:val="0"/>
        <w:snapToGrid w:val="0"/>
        <w:spacing w:before="0" w:beforeAutospacing="0" w:line="360" w:lineRule="auto"/>
        <w:ind w:left="0"/>
        <w:jc w:val="both"/>
        <w:textAlignment w:val="auto"/>
        <w:outlineLvl w:val="2"/>
        <w:rPr>
          <w:rFonts w:hint="default" w:ascii="Times New Roman" w:hAnsi="Times New Roman" w:eastAsia="仿宋" w:cs="Times New Roman"/>
          <w:b/>
          <w:color w:val="auto"/>
          <w:sz w:val="28"/>
          <w:szCs w:val="28"/>
        </w:rPr>
      </w:pPr>
      <w:bookmarkStart w:id="71" w:name="_Toc29198"/>
      <w:r>
        <w:rPr>
          <w:rFonts w:hint="default" w:ascii="Times New Roman" w:hAnsi="Times New Roman" w:eastAsia="仿宋" w:cs="Times New Roman"/>
          <w:b/>
          <w:color w:val="auto"/>
          <w:sz w:val="28"/>
          <w:szCs w:val="28"/>
        </w:rPr>
        <w:t>4.1</w:t>
      </w:r>
      <w:r>
        <w:rPr>
          <w:rFonts w:hint="default" w:ascii="Times New Roman" w:hAnsi="Times New Roman" w:eastAsia="仿宋" w:cs="Times New Roman"/>
          <w:b/>
          <w:color w:val="auto"/>
          <w:sz w:val="28"/>
          <w:szCs w:val="28"/>
          <w:lang w:val="en-US" w:eastAsia="zh-CN"/>
        </w:rPr>
        <w:t>.1</w:t>
      </w:r>
      <w:r>
        <w:rPr>
          <w:rFonts w:hint="eastAsia" w:ascii="Times New Roman" w:hAnsi="Times New Roman" w:eastAsia="仿宋" w:cs="Times New Roman"/>
          <w:b/>
          <w:color w:val="auto"/>
          <w:sz w:val="28"/>
          <w:szCs w:val="28"/>
          <w:lang w:val="en-US" w:eastAsia="zh-CN"/>
        </w:rPr>
        <w:t xml:space="preserve"> </w:t>
      </w:r>
      <w:r>
        <w:rPr>
          <w:rFonts w:hint="default" w:ascii="Times New Roman" w:hAnsi="Times New Roman" w:eastAsia="仿宋" w:cs="Times New Roman"/>
          <w:b/>
          <w:color w:val="auto"/>
          <w:sz w:val="28"/>
          <w:szCs w:val="28"/>
          <w:lang w:eastAsia="zh-CN"/>
        </w:rPr>
        <w:t>相关企业</w:t>
      </w:r>
      <w:r>
        <w:rPr>
          <w:rFonts w:hint="default" w:ascii="Times New Roman" w:hAnsi="Times New Roman" w:eastAsia="仿宋" w:cs="Times New Roman"/>
          <w:b/>
          <w:color w:val="auto"/>
          <w:sz w:val="28"/>
          <w:szCs w:val="28"/>
        </w:rPr>
        <w:t>突发环境事件举例</w:t>
      </w:r>
      <w:bookmarkEnd w:id="70"/>
      <w:bookmarkEnd w:id="71"/>
    </w:p>
    <w:p>
      <w:pPr>
        <w:snapToGrid w:val="0"/>
        <w:spacing w:beforeLines="50" w:afterLines="50" w:line="360" w:lineRule="auto"/>
        <w:rPr>
          <w:rFonts w:hint="default" w:ascii="Times New Roman" w:hAnsi="Times New Roman" w:eastAsia="仿宋" w:cs="Times New Roman"/>
          <w:color w:val="auto"/>
          <w:sz w:val="28"/>
          <w:szCs w:val="28"/>
        </w:rPr>
      </w:pPr>
      <w:r>
        <w:rPr>
          <w:rFonts w:hint="default" w:ascii="Times New Roman" w:hAnsi="Times New Roman" w:eastAsia="仿宋" w:cs="Times New Roman"/>
          <w:b/>
          <w:color w:val="auto"/>
          <w:sz w:val="28"/>
          <w:szCs w:val="28"/>
          <w:lang w:eastAsia="zh-CN"/>
        </w:rPr>
        <w:t>（</w:t>
      </w:r>
      <w:r>
        <w:rPr>
          <w:rFonts w:hint="default" w:ascii="Times New Roman" w:hAnsi="Times New Roman" w:eastAsia="仿宋" w:cs="Times New Roman"/>
          <w:b/>
          <w:color w:val="auto"/>
          <w:sz w:val="28"/>
          <w:szCs w:val="28"/>
          <w:lang w:val="en-US" w:eastAsia="zh-CN"/>
        </w:rPr>
        <w:t>1</w:t>
      </w:r>
      <w:r>
        <w:rPr>
          <w:rFonts w:hint="default" w:ascii="Times New Roman" w:hAnsi="Times New Roman" w:eastAsia="仿宋" w:cs="Times New Roman"/>
          <w:b/>
          <w:color w:val="auto"/>
          <w:sz w:val="28"/>
          <w:szCs w:val="28"/>
          <w:lang w:eastAsia="zh-CN"/>
        </w:rPr>
        <w:t>）</w:t>
      </w:r>
      <w:r>
        <w:rPr>
          <w:rFonts w:hint="default" w:ascii="Times New Roman" w:hAnsi="Times New Roman" w:eastAsia="仿宋" w:cs="Times New Roman"/>
          <w:b/>
          <w:color w:val="auto"/>
          <w:sz w:val="28"/>
          <w:szCs w:val="28"/>
        </w:rPr>
        <w:t>丙烯酸罐区爆炸案例</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2006年10月31日，上海华谊丙烯酸有限公司丙烯酸装置停车检修，T4204B丙烯酸储罐温度自11月3日起从25</w:t>
      </w:r>
      <w:r>
        <w:rPr>
          <w:rFonts w:hint="default" w:ascii="Times New Roman" w:hAnsi="Times New Roman" w:cs="Times New Roman"/>
          <w:color w:val="auto"/>
          <w:sz w:val="28"/>
          <w:szCs w:val="28"/>
        </w:rPr>
        <w:t>℃</w:t>
      </w:r>
      <w:r>
        <w:rPr>
          <w:rFonts w:hint="default" w:ascii="Times New Roman" w:hAnsi="Times New Roman" w:eastAsia="仿宋" w:cs="Times New Roman"/>
          <w:color w:val="auto"/>
          <w:sz w:val="28"/>
          <w:szCs w:val="28"/>
        </w:rPr>
        <w:t>渐升至75</w:t>
      </w:r>
      <w:r>
        <w:rPr>
          <w:rFonts w:hint="default" w:ascii="Times New Roman" w:hAnsi="Times New Roman" w:cs="Times New Roman"/>
          <w:color w:val="auto"/>
          <w:sz w:val="28"/>
          <w:szCs w:val="28"/>
        </w:rPr>
        <w:t>℃</w:t>
      </w:r>
      <w:r>
        <w:rPr>
          <w:rFonts w:hint="default" w:ascii="Times New Roman" w:hAnsi="Times New Roman" w:eastAsia="仿宋" w:cs="Times New Roman"/>
          <w:color w:val="auto"/>
          <w:sz w:val="28"/>
          <w:szCs w:val="28"/>
        </w:rPr>
        <w:t>，于11月3日3:50发生爆炸，灌顶15块碎片炸飞，灌壁内凹。</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事故原因：1、对阻聚剂逐渐消耗的危险认识不足，当其为200ppm、温度为50</w:t>
      </w:r>
      <w:r>
        <w:rPr>
          <w:rFonts w:hint="default" w:ascii="Times New Roman" w:hAnsi="Times New Roman" w:cs="Times New Roman"/>
          <w:color w:val="auto"/>
          <w:sz w:val="28"/>
          <w:szCs w:val="28"/>
        </w:rPr>
        <w:t>℃</w:t>
      </w:r>
      <w:r>
        <w:rPr>
          <w:rFonts w:hint="default" w:ascii="Times New Roman" w:hAnsi="Times New Roman" w:eastAsia="仿宋" w:cs="Times New Roman"/>
          <w:color w:val="auto"/>
          <w:sz w:val="28"/>
          <w:szCs w:val="28"/>
        </w:rPr>
        <w:t>时，每天丙烯酸的二聚体增加0.25%，阻聚剂将随之减少。阻聚剂的消耗，提升了丙烯酸自聚放热导致最终爆炸条件。2、停供储罐冷却水的后果估计不够，丙烯酸生产装置停车检修，公用工程供应该罐的冷却水也被停用，致使该罐不能有效降热。停供冷却水，削弱了丙烯酸储存的工艺控制手段。3、对待温度升高、超标报警的工艺异常处置，完全处于失控是该罐爆炸的主要致因。工艺控制指标20±5℃，报警设定值上、下限为30℃、18℃。有章不循、视而不见。听而不闻，随之任之。</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事故教训：1、《停产方案》制定，存在明显缺陷。2、企业疏于管理。负有主要责任。3、掌握危险物质（自聚、自然、控温、自分解等）的风险辨识、监控对策。</w:t>
      </w:r>
    </w:p>
    <w:p>
      <w:pPr>
        <w:snapToGrid w:val="0"/>
        <w:spacing w:beforeLines="50" w:afterLines="50" w:line="360" w:lineRule="auto"/>
        <w:rPr>
          <w:rFonts w:hint="default" w:ascii="Times New Roman" w:hAnsi="Times New Roman" w:eastAsia="仿宋" w:cs="Times New Roman"/>
          <w:b/>
          <w:color w:val="auto"/>
          <w:sz w:val="28"/>
          <w:szCs w:val="28"/>
        </w:rPr>
      </w:pPr>
      <w:r>
        <w:rPr>
          <w:rFonts w:hint="default" w:ascii="Times New Roman" w:hAnsi="Times New Roman" w:eastAsia="仿宋" w:cs="Times New Roman"/>
          <w:b/>
          <w:color w:val="auto"/>
          <w:sz w:val="28"/>
          <w:szCs w:val="28"/>
          <w:lang w:eastAsia="zh-CN"/>
        </w:rPr>
        <w:t>（</w:t>
      </w:r>
      <w:r>
        <w:rPr>
          <w:rFonts w:hint="default" w:ascii="Times New Roman" w:hAnsi="Times New Roman" w:eastAsia="仿宋" w:cs="Times New Roman"/>
          <w:b/>
          <w:color w:val="auto"/>
          <w:sz w:val="28"/>
          <w:szCs w:val="28"/>
          <w:lang w:val="en-US" w:eastAsia="zh-CN"/>
        </w:rPr>
        <w:t>2</w:t>
      </w:r>
      <w:r>
        <w:rPr>
          <w:rFonts w:hint="default" w:ascii="Times New Roman" w:hAnsi="Times New Roman" w:eastAsia="仿宋" w:cs="Times New Roman"/>
          <w:b/>
          <w:color w:val="auto"/>
          <w:sz w:val="28"/>
          <w:szCs w:val="28"/>
          <w:lang w:eastAsia="zh-CN"/>
        </w:rPr>
        <w:t>）</w:t>
      </w:r>
      <w:r>
        <w:rPr>
          <w:rFonts w:hint="default" w:ascii="Times New Roman" w:hAnsi="Times New Roman" w:eastAsia="仿宋" w:cs="Times New Roman"/>
          <w:b/>
          <w:color w:val="auto"/>
          <w:sz w:val="28"/>
          <w:szCs w:val="28"/>
        </w:rPr>
        <w:t>双氧水泄露案例</w:t>
      </w:r>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rPr>
        <w:t>6月28日下午，位于瑞昌市码头工业城的江西理文化工有限公司热电车间因2#发电机高调门抖动调停，全厂失电，SIS 系统卡键供电出现毫秒级失电，导致氧化塔紧急排料阀门强制开启，部分双氧水工作液（不溶于水）泄漏，通过雨水管网渗入排水渠。事发后，理文化工有限公司立即启动应急预案进行处置。接到报告后，瑞昌市环保、安监、水利、消防等部门专业技术人员迅即赶到现场，实施紧急处置。6月30日中午，泄漏的双氧水工作液已基本清理回收完毕，未造成人员伤害</w:t>
      </w:r>
      <w:r>
        <w:rPr>
          <w:rFonts w:hint="default" w:ascii="Times New Roman" w:hAnsi="Times New Roman" w:eastAsia="仿宋" w:cs="Times New Roman"/>
          <w:color w:val="auto"/>
          <w:sz w:val="28"/>
          <w:szCs w:val="28"/>
          <w:lang w:val="en-US" w:eastAsia="zh-CN"/>
        </w:rPr>
        <w:t>。</w:t>
      </w:r>
    </w:p>
    <w:p>
      <w:pPr>
        <w:pStyle w:val="6"/>
        <w:keepNext/>
        <w:keepLines/>
        <w:widowControl w:val="0"/>
        <w:wordWrap/>
        <w:adjustRightInd w:val="0"/>
        <w:snapToGrid w:val="0"/>
        <w:spacing w:beforeLines="50" w:beforeAutospacing="0" w:after="10" w:line="240" w:lineRule="auto"/>
        <w:ind w:left="0"/>
        <w:jc w:val="both"/>
        <w:textAlignment w:val="auto"/>
        <w:outlineLvl w:val="2"/>
        <w:rPr>
          <w:rFonts w:hint="default" w:ascii="Times New Roman" w:hAnsi="Times New Roman" w:eastAsia="仿宋" w:cs="Times New Roman"/>
          <w:b/>
          <w:color w:val="auto"/>
          <w:sz w:val="28"/>
          <w:szCs w:val="28"/>
          <w:lang w:eastAsia="zh-CN"/>
        </w:rPr>
      </w:pPr>
      <w:bookmarkStart w:id="72" w:name="_Toc3378"/>
      <w:bookmarkStart w:id="73" w:name="_Toc516436378"/>
      <w:r>
        <w:rPr>
          <w:rFonts w:hint="default" w:ascii="Times New Roman" w:hAnsi="Times New Roman" w:eastAsia="仿宋" w:cs="Times New Roman"/>
          <w:b/>
          <w:color w:val="auto"/>
          <w:sz w:val="28"/>
          <w:szCs w:val="28"/>
          <w:lang w:eastAsia="zh-CN"/>
        </w:rPr>
        <w:t>4.</w:t>
      </w:r>
      <w:r>
        <w:rPr>
          <w:rFonts w:hint="default" w:ascii="Times New Roman" w:hAnsi="Times New Roman" w:eastAsia="仿宋" w:cs="Times New Roman"/>
          <w:b/>
          <w:color w:val="auto"/>
          <w:sz w:val="28"/>
          <w:szCs w:val="28"/>
          <w:lang w:val="en-US" w:eastAsia="zh-CN"/>
        </w:rPr>
        <w:t>1.</w:t>
      </w:r>
      <w:r>
        <w:rPr>
          <w:rFonts w:hint="default" w:ascii="Times New Roman" w:hAnsi="Times New Roman" w:eastAsia="仿宋" w:cs="Times New Roman"/>
          <w:b/>
          <w:color w:val="auto"/>
          <w:sz w:val="28"/>
          <w:szCs w:val="28"/>
          <w:lang w:eastAsia="zh-CN"/>
        </w:rPr>
        <w:t>2</w:t>
      </w:r>
      <w:r>
        <w:rPr>
          <w:rFonts w:hint="default" w:ascii="Times New Roman" w:hAnsi="Times New Roman" w:eastAsia="仿宋" w:cs="Times New Roman"/>
          <w:b/>
          <w:color w:val="auto"/>
          <w:sz w:val="28"/>
          <w:szCs w:val="28"/>
          <w:lang w:val="en-US" w:eastAsia="zh-CN"/>
        </w:rPr>
        <w:t xml:space="preserve"> </w:t>
      </w:r>
      <w:r>
        <w:rPr>
          <w:rFonts w:hint="default" w:ascii="Times New Roman" w:hAnsi="Times New Roman" w:eastAsia="仿宋" w:cs="Times New Roman"/>
          <w:b/>
          <w:color w:val="auto"/>
          <w:sz w:val="28"/>
          <w:szCs w:val="28"/>
          <w:lang w:eastAsia="zh-CN"/>
        </w:rPr>
        <w:t>企业可能发生的突发环境事件及其后果分析</w:t>
      </w:r>
      <w:bookmarkEnd w:id="72"/>
      <w:bookmarkEnd w:id="73"/>
    </w:p>
    <w:p>
      <w:pPr>
        <w:widowControl w:val="0"/>
        <w:wordWrap/>
        <w:snapToGrid w:val="0"/>
        <w:spacing w:beforeLines="50" w:after="10" w:line="240" w:lineRule="auto"/>
        <w:textAlignment w:val="auto"/>
        <w:rPr>
          <w:rFonts w:hint="default" w:ascii="Times New Roman" w:hAnsi="Times New Roman" w:eastAsia="仿宋" w:cs="Times New Roman"/>
          <w:b/>
          <w:color w:val="auto"/>
          <w:sz w:val="28"/>
          <w:szCs w:val="28"/>
        </w:rPr>
      </w:pPr>
      <w:r>
        <w:rPr>
          <w:rFonts w:hint="default" w:ascii="Times New Roman" w:hAnsi="Times New Roman" w:eastAsia="仿宋" w:cs="Times New Roman"/>
          <w:b/>
          <w:color w:val="auto"/>
          <w:sz w:val="28"/>
          <w:szCs w:val="28"/>
        </w:rPr>
        <w:t>4.</w:t>
      </w:r>
      <w:r>
        <w:rPr>
          <w:rFonts w:hint="default" w:ascii="Times New Roman" w:hAnsi="Times New Roman" w:eastAsia="仿宋" w:cs="Times New Roman"/>
          <w:b/>
          <w:color w:val="auto"/>
          <w:sz w:val="28"/>
          <w:szCs w:val="28"/>
          <w:lang w:val="en-US" w:eastAsia="zh-CN"/>
        </w:rPr>
        <w:t>1.2</w:t>
      </w:r>
      <w:r>
        <w:rPr>
          <w:rFonts w:hint="default" w:ascii="Times New Roman" w:hAnsi="Times New Roman" w:eastAsia="仿宋" w:cs="Times New Roman"/>
          <w:b/>
          <w:color w:val="auto"/>
          <w:sz w:val="28"/>
          <w:szCs w:val="28"/>
        </w:rPr>
        <w:t>.1</w:t>
      </w:r>
      <w:r>
        <w:rPr>
          <w:rFonts w:hint="default" w:ascii="Times New Roman" w:hAnsi="Times New Roman" w:eastAsia="仿宋" w:cs="Times New Roman"/>
          <w:b/>
          <w:color w:val="auto"/>
          <w:sz w:val="28"/>
          <w:szCs w:val="28"/>
          <w:lang w:val="en-US" w:eastAsia="zh-CN"/>
        </w:rPr>
        <w:t xml:space="preserve"> </w:t>
      </w:r>
      <w:r>
        <w:rPr>
          <w:rFonts w:hint="default" w:ascii="Times New Roman" w:hAnsi="Times New Roman" w:eastAsia="仿宋" w:cs="Times New Roman"/>
          <w:b/>
          <w:color w:val="auto"/>
          <w:sz w:val="28"/>
          <w:szCs w:val="28"/>
        </w:rPr>
        <w:t>企业突发环境事件</w:t>
      </w:r>
    </w:p>
    <w:p>
      <w:pPr>
        <w:snapToGrid w:val="0"/>
        <w:spacing w:line="240" w:lineRule="auto"/>
        <w:ind w:firstLine="560" w:firstLineChars="200"/>
        <w:rPr>
          <w:rFonts w:hint="eastAsia"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根据对企业生产、贮运过程及污染物排放中危险和有害因素的分析，企业突发环境事件的类型主要为有毒物质泄露引起大气污染事件、火灾、爆炸事件；污染物不达标排放的环境污染事件等。突发环境事件情景汇总见表4.</w:t>
      </w:r>
      <w:r>
        <w:rPr>
          <w:rFonts w:hint="eastAsia" w:ascii="Times New Roman" w:hAnsi="Times New Roman" w:eastAsia="仿宋" w:cs="Times New Roman"/>
          <w:color w:val="auto"/>
          <w:sz w:val="28"/>
          <w:szCs w:val="28"/>
          <w:lang w:val="en-US" w:eastAsia="zh-CN"/>
        </w:rPr>
        <w:t>1</w:t>
      </w:r>
      <w:r>
        <w:rPr>
          <w:rFonts w:hint="eastAsia" w:ascii="Times New Roman" w:hAnsi="Times New Roman" w:eastAsia="仿宋" w:cs="Times New Roman"/>
          <w:color w:val="auto"/>
          <w:sz w:val="28"/>
          <w:szCs w:val="28"/>
        </w:rPr>
        <w:t>-1。</w:t>
      </w:r>
    </w:p>
    <w:p>
      <w:pPr>
        <w:widowControl w:val="0"/>
        <w:tabs>
          <w:tab w:val="left" w:pos="883"/>
        </w:tabs>
        <w:wordWrap/>
        <w:adjustRightInd/>
        <w:snapToGrid/>
        <w:spacing w:line="240" w:lineRule="auto"/>
        <w:ind w:firstLine="482" w:firstLineChars="200"/>
        <w:jc w:val="center"/>
        <w:textAlignment w:val="auto"/>
        <w:rPr>
          <w:rFonts w:hint="default" w:ascii="Times New Roman" w:hAnsi="Times New Roman" w:eastAsia="仿宋" w:cs="Times New Roman"/>
          <w:b/>
          <w:bCs/>
          <w:color w:val="auto"/>
          <w:sz w:val="24"/>
          <w:szCs w:val="24"/>
        </w:rPr>
      </w:pPr>
    </w:p>
    <w:p>
      <w:pPr>
        <w:pStyle w:val="2"/>
        <w:rPr>
          <w:rFonts w:hint="default"/>
          <w:color w:val="auto"/>
        </w:rPr>
      </w:pPr>
    </w:p>
    <w:p>
      <w:pPr>
        <w:widowControl w:val="0"/>
        <w:tabs>
          <w:tab w:val="left" w:pos="883"/>
        </w:tabs>
        <w:wordWrap/>
        <w:adjustRightInd/>
        <w:snapToGrid/>
        <w:spacing w:line="240" w:lineRule="auto"/>
        <w:ind w:firstLine="482" w:firstLineChars="200"/>
        <w:jc w:val="center"/>
        <w:textAlignment w:val="auto"/>
        <w:rPr>
          <w:rFonts w:hint="default" w:ascii="Times New Roman" w:hAnsi="Times New Roman" w:eastAsia="仿宋" w:cs="Times New Roman"/>
          <w:b/>
          <w:bCs/>
          <w:color w:val="auto"/>
          <w:sz w:val="24"/>
          <w:szCs w:val="24"/>
        </w:rPr>
      </w:pPr>
    </w:p>
    <w:p>
      <w:pPr>
        <w:widowControl w:val="0"/>
        <w:tabs>
          <w:tab w:val="left" w:pos="883"/>
        </w:tabs>
        <w:wordWrap/>
        <w:adjustRightInd/>
        <w:snapToGrid/>
        <w:spacing w:line="240" w:lineRule="auto"/>
        <w:ind w:firstLine="482" w:firstLineChars="20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表4.</w:t>
      </w:r>
      <w:r>
        <w:rPr>
          <w:rFonts w:hint="eastAsia" w:ascii="Times New Roman" w:hAnsi="Times New Roman" w:eastAsia="仿宋" w:cs="Times New Roman"/>
          <w:b/>
          <w:bCs/>
          <w:color w:val="auto"/>
          <w:sz w:val="24"/>
          <w:szCs w:val="24"/>
          <w:lang w:val="en-US" w:eastAsia="zh-CN"/>
        </w:rPr>
        <w:t>1</w:t>
      </w:r>
      <w:r>
        <w:rPr>
          <w:rFonts w:hint="default" w:ascii="Times New Roman" w:hAnsi="Times New Roman" w:eastAsia="仿宋" w:cs="Times New Roman"/>
          <w:b/>
          <w:bCs/>
          <w:color w:val="auto"/>
          <w:sz w:val="24"/>
          <w:szCs w:val="24"/>
        </w:rPr>
        <w:t>-1企业突发环境事件情景汇总</w:t>
      </w:r>
    </w:p>
    <w:tbl>
      <w:tblPr>
        <w:tblStyle w:val="21"/>
        <w:tblW w:w="9611" w:type="dxa"/>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126"/>
        <w:gridCol w:w="2127"/>
        <w:gridCol w:w="4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3" w:type="dxa"/>
            <w:vAlign w:val="center"/>
          </w:tcPr>
          <w:p>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2126" w:type="dxa"/>
            <w:vAlign w:val="center"/>
          </w:tcPr>
          <w:p>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环境事件类型</w:t>
            </w:r>
          </w:p>
        </w:tc>
        <w:tc>
          <w:tcPr>
            <w:tcW w:w="2127" w:type="dxa"/>
            <w:vAlign w:val="center"/>
          </w:tcPr>
          <w:p>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可能发生地点</w:t>
            </w:r>
          </w:p>
        </w:tc>
        <w:tc>
          <w:tcPr>
            <w:tcW w:w="4665" w:type="dxa"/>
            <w:vAlign w:val="center"/>
          </w:tcPr>
          <w:p>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触发因素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3"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2126"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火灾、爆炸</w:t>
            </w:r>
          </w:p>
        </w:tc>
        <w:tc>
          <w:tcPr>
            <w:tcW w:w="2127"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罐区、管道、生产车间、化学品仓库</w:t>
            </w:r>
          </w:p>
        </w:tc>
        <w:tc>
          <w:tcPr>
            <w:tcW w:w="4665"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储罐泄露、管道破裂、操作不当、违规动火作业等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3"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2126"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危险化学品泄漏</w:t>
            </w:r>
          </w:p>
        </w:tc>
        <w:tc>
          <w:tcPr>
            <w:tcW w:w="2127" w:type="dxa"/>
            <w:vAlign w:val="center"/>
          </w:tcPr>
          <w:p>
            <w:pPr>
              <w:snapToGrid w:val="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化学品仓库</w:t>
            </w:r>
            <w:r>
              <w:rPr>
                <w:rFonts w:hint="default" w:ascii="Times New Roman" w:hAnsi="Times New Roman" w:eastAsia="仿宋" w:cs="Times New Roman"/>
                <w:color w:val="auto"/>
                <w:sz w:val="21"/>
                <w:szCs w:val="21"/>
                <w:lang w:eastAsia="zh-CN"/>
              </w:rPr>
              <w:t>、罐区</w:t>
            </w:r>
            <w:r>
              <w:rPr>
                <w:rFonts w:hint="eastAsia" w:ascii="Times New Roman" w:hAnsi="Times New Roman" w:eastAsia="仿宋" w:cs="Times New Roman"/>
                <w:color w:val="auto"/>
                <w:sz w:val="21"/>
                <w:szCs w:val="21"/>
                <w:lang w:eastAsia="zh-CN"/>
              </w:rPr>
              <w:t>、管道</w:t>
            </w:r>
          </w:p>
        </w:tc>
        <w:tc>
          <w:tcPr>
            <w:tcW w:w="4665" w:type="dxa"/>
            <w:vAlign w:val="center"/>
          </w:tcPr>
          <w:p>
            <w:pPr>
              <w:snapToGrid w:val="0"/>
              <w:jc w:val="center"/>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操作不当、容器破裂</w:t>
            </w:r>
            <w:r>
              <w:rPr>
                <w:rFonts w:hint="eastAsia" w:ascii="Times New Roman" w:hAnsi="Times New Roman" w:eastAsia="仿宋" w:cs="Times New Roman"/>
                <w:color w:val="auto"/>
                <w:sz w:val="21"/>
                <w:szCs w:val="21"/>
                <w:lang w:eastAsia="zh-CN"/>
              </w:rPr>
              <w:t>、管道破裂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3"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2126"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污水超标排放</w:t>
            </w:r>
          </w:p>
        </w:tc>
        <w:tc>
          <w:tcPr>
            <w:tcW w:w="2127"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污水处理站</w:t>
            </w:r>
          </w:p>
        </w:tc>
        <w:tc>
          <w:tcPr>
            <w:tcW w:w="4665"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设备故障、操作不当、药品质量不佳、污水管道破损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93"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2126"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废气超标排放</w:t>
            </w:r>
          </w:p>
        </w:tc>
        <w:tc>
          <w:tcPr>
            <w:tcW w:w="2127"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废气排放口</w:t>
            </w:r>
          </w:p>
        </w:tc>
        <w:tc>
          <w:tcPr>
            <w:tcW w:w="4665"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处理设施损坏、活性炭失效未及时更换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3"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2126"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地质灾害、暴雨、台风产生的次生灾害</w:t>
            </w:r>
          </w:p>
        </w:tc>
        <w:tc>
          <w:tcPr>
            <w:tcW w:w="2127"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雨水、污水排放口</w:t>
            </w:r>
          </w:p>
        </w:tc>
        <w:tc>
          <w:tcPr>
            <w:tcW w:w="4665"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地质灾害、暴雨、台风</w:t>
            </w:r>
          </w:p>
        </w:tc>
      </w:tr>
    </w:tbl>
    <w:p>
      <w:pPr>
        <w:widowControl w:val="0"/>
        <w:wordWrap/>
        <w:snapToGrid w:val="0"/>
        <w:spacing w:line="360" w:lineRule="auto"/>
        <w:textAlignment w:val="auto"/>
        <w:rPr>
          <w:rFonts w:hint="eastAsia" w:ascii="Times New Roman" w:hAnsi="Times New Roman" w:eastAsia="仿宋" w:cs="Times New Roman"/>
          <w:b/>
          <w:color w:val="auto"/>
          <w:sz w:val="28"/>
          <w:szCs w:val="28"/>
          <w:lang w:eastAsia="zh-CN"/>
        </w:rPr>
      </w:pPr>
      <w:r>
        <w:rPr>
          <w:rFonts w:hint="default" w:ascii="Times New Roman" w:hAnsi="Times New Roman" w:eastAsia="仿宋" w:cs="Times New Roman"/>
          <w:b/>
          <w:color w:val="auto"/>
          <w:sz w:val="28"/>
          <w:szCs w:val="28"/>
        </w:rPr>
        <w:t>4.</w:t>
      </w:r>
      <w:r>
        <w:rPr>
          <w:rFonts w:hint="default" w:ascii="Times New Roman" w:hAnsi="Times New Roman" w:eastAsia="仿宋" w:cs="Times New Roman"/>
          <w:b/>
          <w:color w:val="auto"/>
          <w:sz w:val="28"/>
          <w:szCs w:val="28"/>
          <w:lang w:val="en-US" w:eastAsia="zh-CN"/>
        </w:rPr>
        <w:t>1.2</w:t>
      </w:r>
      <w:r>
        <w:rPr>
          <w:rFonts w:hint="default" w:ascii="Times New Roman" w:hAnsi="Times New Roman" w:eastAsia="仿宋" w:cs="Times New Roman"/>
          <w:b/>
          <w:color w:val="auto"/>
          <w:sz w:val="28"/>
          <w:szCs w:val="28"/>
        </w:rPr>
        <w:t>.</w:t>
      </w:r>
      <w:r>
        <w:rPr>
          <w:rFonts w:hint="eastAsia" w:ascii="Times New Roman" w:hAnsi="Times New Roman" w:eastAsia="仿宋" w:cs="Times New Roman"/>
          <w:b/>
          <w:color w:val="auto"/>
          <w:sz w:val="28"/>
          <w:szCs w:val="28"/>
          <w:lang w:val="en-US" w:eastAsia="zh-CN"/>
        </w:rPr>
        <w:t xml:space="preserve">2 </w:t>
      </w:r>
      <w:r>
        <w:rPr>
          <w:rFonts w:hint="eastAsia" w:ascii="Times New Roman" w:hAnsi="Times New Roman" w:eastAsia="仿宋" w:cs="Times New Roman"/>
          <w:b/>
          <w:color w:val="auto"/>
          <w:sz w:val="28"/>
          <w:szCs w:val="28"/>
          <w:lang w:eastAsia="zh-CN"/>
        </w:rPr>
        <w:t>最大可信事故分析</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 xml:space="preserve">在各类事故隐患中，以反应装置、管线及贮罐泄漏为多，而造成泄漏的原因多为管理不善、未能定时检修和操作失误造成。本项目采用先进生产工艺，符合清洁生产要求，生产过程及贮运系统均采用自动化控制系统，使人为失误最少化，增强生产安全性，可以最大限度地减少泄漏事故的发生。运输过程的事故主要来自：因车辆事故或碰撞产生溢液；装车过程发生跑冒或管道破裂、断裂时产生溢液。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 xml:space="preserve">事故通常分特别重大事故、重大事故、较大事故和一般事故。重大事故是指造成10人以上30人以下死亡，或者50人以上100人以下重伤，或者5000万元以上1亿元以下直接经济损失的事故。据调查统计，国外先进化工企业重大事故 发生概率为0.003125～0.01次/年，即在装置寿命（25年）内不会发生重大事故； </w:t>
      </w:r>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 xml:space="preserve">国内较先进化工企业为 0.01～0.0312次/年，即在装置寿命（25 年）内发生一次，参照表 </w:t>
      </w:r>
      <w:r>
        <w:rPr>
          <w:rFonts w:hint="eastAsia" w:ascii="Times New Roman" w:hAnsi="Times New Roman" w:eastAsia="仿宋" w:cs="Times New Roman"/>
          <w:color w:val="auto"/>
          <w:sz w:val="28"/>
          <w:szCs w:val="28"/>
          <w:lang w:val="en-US" w:eastAsia="zh-CN"/>
        </w:rPr>
        <w:t>4.1</w:t>
      </w:r>
      <w:r>
        <w:rPr>
          <w:rFonts w:hint="default" w:ascii="Times New Roman" w:hAnsi="Times New Roman" w:eastAsia="仿宋" w:cs="Times New Roman"/>
          <w:color w:val="auto"/>
          <w:sz w:val="28"/>
          <w:szCs w:val="28"/>
          <w:lang w:val="en-US" w:eastAsia="zh-CN"/>
        </w:rPr>
        <w:t>-</w:t>
      </w:r>
      <w:r>
        <w:rPr>
          <w:rFonts w:hint="eastAsia"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lang w:val="en-US" w:eastAsia="zh-CN"/>
        </w:rPr>
        <w:t>。</w:t>
      </w:r>
    </w:p>
    <w:p>
      <w:pPr>
        <w:widowControl w:val="0"/>
        <w:wordWrap/>
        <w:adjustRightInd/>
        <w:snapToGrid w:val="0"/>
        <w:spacing w:beforeLines="50" w:line="240" w:lineRule="auto"/>
        <w:ind w:firstLine="482" w:firstLineChars="200"/>
        <w:jc w:val="center"/>
        <w:textAlignment w:val="auto"/>
        <w:rPr>
          <w:rFonts w:hint="eastAsia" w:eastAsia="仿宋"/>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 xml:space="preserve">表 </w:t>
      </w:r>
      <w:r>
        <w:rPr>
          <w:rFonts w:hint="eastAsia" w:ascii="Times New Roman" w:hAnsi="Times New Roman" w:eastAsia="仿宋" w:cs="Times New Roman"/>
          <w:b/>
          <w:bCs/>
          <w:color w:val="auto"/>
          <w:sz w:val="24"/>
          <w:szCs w:val="24"/>
          <w:highlight w:val="none"/>
          <w:lang w:val="en-US" w:eastAsia="zh-CN"/>
        </w:rPr>
        <w:t>4.1</w:t>
      </w:r>
      <w:r>
        <w:rPr>
          <w:rFonts w:hint="default" w:ascii="Times New Roman" w:hAnsi="Times New Roman" w:eastAsia="仿宋" w:cs="Times New Roman"/>
          <w:b/>
          <w:bCs/>
          <w:color w:val="auto"/>
          <w:sz w:val="24"/>
          <w:szCs w:val="24"/>
          <w:highlight w:val="none"/>
          <w:lang w:val="en-US" w:eastAsia="zh-CN"/>
        </w:rPr>
        <w:t>-</w:t>
      </w:r>
      <w:r>
        <w:rPr>
          <w:rFonts w:hint="eastAsia" w:ascii="Times New Roman" w:hAnsi="Times New Roman" w:eastAsia="仿宋" w:cs="Times New Roman"/>
          <w:b/>
          <w:bCs/>
          <w:color w:val="auto"/>
          <w:sz w:val="24"/>
          <w:szCs w:val="24"/>
          <w:highlight w:val="none"/>
          <w:lang w:val="en-US" w:eastAsia="zh-CN"/>
        </w:rPr>
        <w:t>2</w:t>
      </w:r>
      <w:r>
        <w:rPr>
          <w:rFonts w:hint="default" w:ascii="Times New Roman" w:hAnsi="Times New Roman" w:eastAsia="仿宋" w:cs="Times New Roman"/>
          <w:b/>
          <w:bCs/>
          <w:color w:val="auto"/>
          <w:sz w:val="24"/>
          <w:szCs w:val="24"/>
          <w:highlight w:val="none"/>
          <w:lang w:val="en-US" w:eastAsia="zh-CN"/>
        </w:rPr>
        <w:t>重大事故概率分类</w:t>
      </w:r>
    </w:p>
    <w:tbl>
      <w:tblPr>
        <w:tblStyle w:val="21"/>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2132"/>
        <w:gridCol w:w="3132"/>
        <w:gridCol w:w="2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35" w:type="dxa"/>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color w:val="auto"/>
                <w:kern w:val="0"/>
                <w:sz w:val="21"/>
                <w:szCs w:val="21"/>
                <w:lang w:val="en-US" w:eastAsia="zh-CN"/>
              </w:rPr>
              <w:t>分类</w:t>
            </w:r>
          </w:p>
        </w:tc>
        <w:tc>
          <w:tcPr>
            <w:tcW w:w="2132" w:type="dxa"/>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color w:val="auto"/>
                <w:kern w:val="0"/>
                <w:sz w:val="21"/>
                <w:szCs w:val="21"/>
                <w:lang w:val="en-US" w:eastAsia="zh-CN"/>
              </w:rPr>
              <w:t>情况说明</w:t>
            </w:r>
          </w:p>
        </w:tc>
        <w:tc>
          <w:tcPr>
            <w:tcW w:w="3132" w:type="dxa"/>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color w:val="auto"/>
                <w:kern w:val="0"/>
                <w:sz w:val="21"/>
                <w:szCs w:val="21"/>
                <w:lang w:val="en-US" w:eastAsia="zh-CN"/>
              </w:rPr>
              <w:t>定义</w:t>
            </w:r>
          </w:p>
        </w:tc>
        <w:tc>
          <w:tcPr>
            <w:tcW w:w="2201" w:type="dxa"/>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color w:val="auto"/>
                <w:kern w:val="0"/>
                <w:sz w:val="21"/>
                <w:szCs w:val="21"/>
                <w:lang w:val="en-US" w:eastAsia="zh-CN"/>
              </w:rPr>
              <w:t>事故概率（次/年）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335"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2132" w:type="dxa"/>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lang w:val="en-US" w:eastAsia="zh-CN"/>
              </w:rPr>
              <w:t>极端少</w:t>
            </w:r>
          </w:p>
        </w:tc>
        <w:tc>
          <w:tcPr>
            <w:tcW w:w="3132" w:type="dxa"/>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lang w:val="en-US" w:eastAsia="zh-CN"/>
              </w:rPr>
              <w:t>从不发生</w:t>
            </w:r>
          </w:p>
        </w:tc>
        <w:tc>
          <w:tcPr>
            <w:tcW w:w="2201" w:type="dxa"/>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lang w:val="en-US" w:eastAsia="zh-CN"/>
              </w:rPr>
              <w:t>3.125</w:t>
            </w:r>
            <w:r>
              <w:rPr>
                <w:rFonts w:hint="default" w:ascii="Arial" w:hAnsi="Arial" w:eastAsia="仿宋" w:cs="Arial"/>
                <w:color w:val="auto"/>
                <w:kern w:val="0"/>
                <w:sz w:val="21"/>
                <w:szCs w:val="21"/>
                <w:lang w:val="en-US" w:eastAsia="zh-CN"/>
              </w:rPr>
              <w:t>×</w:t>
            </w:r>
            <w:r>
              <w:rPr>
                <w:rFonts w:hint="default" w:ascii="Times New Roman" w:hAnsi="Times New Roman" w:eastAsia="仿宋" w:cs="Times New Roman"/>
                <w:color w:val="auto"/>
                <w:kern w:val="0"/>
                <w:sz w:val="21"/>
                <w:szCs w:val="21"/>
                <w:lang w:val="en-US" w:eastAsia="zh-CN"/>
              </w:rPr>
              <w:t>10</w:t>
            </w:r>
            <w:r>
              <w:rPr>
                <w:rFonts w:hint="default" w:ascii="Times New Roman" w:hAnsi="Times New Roman" w:eastAsia="仿宋" w:cs="Times New Roman"/>
                <w:color w:val="auto"/>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335"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2132" w:type="dxa"/>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lang w:val="en-US" w:eastAsia="zh-CN"/>
              </w:rPr>
              <w:t>少</w:t>
            </w:r>
          </w:p>
        </w:tc>
        <w:tc>
          <w:tcPr>
            <w:tcW w:w="3132"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装置寿命内从不发生</w:t>
            </w:r>
          </w:p>
        </w:tc>
        <w:tc>
          <w:tcPr>
            <w:tcW w:w="2201"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lang w:val="en-US" w:eastAsia="zh-CN"/>
              </w:rPr>
              <w:t>1</w:t>
            </w:r>
            <w:r>
              <w:rPr>
                <w:rFonts w:hint="default" w:ascii="Arial" w:hAnsi="Arial" w:eastAsia="仿宋" w:cs="Arial"/>
                <w:color w:val="auto"/>
                <w:kern w:val="0"/>
                <w:sz w:val="21"/>
                <w:szCs w:val="21"/>
                <w:lang w:val="en-US" w:eastAsia="zh-CN"/>
              </w:rPr>
              <w:t>×</w:t>
            </w:r>
            <w:r>
              <w:rPr>
                <w:rFonts w:hint="default" w:ascii="Times New Roman" w:hAnsi="Times New Roman" w:eastAsia="仿宋" w:cs="Times New Roman"/>
                <w:color w:val="auto"/>
                <w:sz w:val="21"/>
                <w:szCs w:val="21"/>
                <w:lang w:val="en-US" w:eastAsia="zh-CN"/>
              </w:rPr>
              <w:t>10</w:t>
            </w:r>
            <w:r>
              <w:rPr>
                <w:rFonts w:hint="default" w:ascii="Times New Roman" w:hAnsi="Times New Roman" w:eastAsia="仿宋" w:cs="Times New Roman"/>
                <w:color w:val="auto"/>
                <w:sz w:val="21"/>
                <w:szCs w:val="21"/>
                <w:vertAlign w:val="superscript"/>
                <w:lang w:val="en-US" w:eastAsia="zh-CN"/>
              </w:rPr>
              <w:t>-2</w:t>
            </w:r>
            <w:r>
              <w:rPr>
                <w:rFonts w:hint="default" w:ascii="Times New Roman" w:hAnsi="Times New Roman" w:eastAsia="仿宋" w:cs="Times New Roman"/>
                <w:color w:val="auto"/>
                <w:sz w:val="21"/>
                <w:szCs w:val="21"/>
                <w:lang w:val="en-US" w:eastAsia="zh-CN"/>
              </w:rPr>
              <w:t>～3.125</w:t>
            </w:r>
            <w:r>
              <w:rPr>
                <w:rFonts w:hint="default" w:ascii="Arial" w:hAnsi="Arial" w:eastAsia="仿宋" w:cs="Arial"/>
                <w:color w:val="auto"/>
                <w:kern w:val="0"/>
                <w:sz w:val="21"/>
                <w:szCs w:val="21"/>
                <w:lang w:val="en-US" w:eastAsia="zh-CN"/>
              </w:rPr>
              <w:t>×</w:t>
            </w:r>
            <w:r>
              <w:rPr>
                <w:rFonts w:hint="default" w:ascii="Times New Roman" w:hAnsi="Times New Roman" w:eastAsia="仿宋" w:cs="Times New Roman"/>
                <w:color w:val="auto"/>
                <w:sz w:val="21"/>
                <w:szCs w:val="21"/>
                <w:lang w:val="en-US" w:eastAsia="zh-CN"/>
              </w:rPr>
              <w:t>10</w:t>
            </w:r>
            <w:r>
              <w:rPr>
                <w:rFonts w:hint="default" w:ascii="Times New Roman" w:hAnsi="Times New Roman" w:eastAsia="仿宋"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335"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2132" w:type="dxa"/>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lang w:val="en-US" w:eastAsia="zh-CN"/>
              </w:rPr>
              <w:t>不大可能</w:t>
            </w:r>
          </w:p>
        </w:tc>
        <w:tc>
          <w:tcPr>
            <w:tcW w:w="3132" w:type="dxa"/>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lang w:val="en-US" w:eastAsia="zh-CN"/>
              </w:rPr>
              <w:t>装置寿命内发生一次</w:t>
            </w:r>
          </w:p>
        </w:tc>
        <w:tc>
          <w:tcPr>
            <w:tcW w:w="2201" w:type="dxa"/>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lang w:val="en-US" w:eastAsia="zh-CN"/>
              </w:rPr>
              <w:t>3.125</w:t>
            </w:r>
            <w:r>
              <w:rPr>
                <w:rFonts w:hint="default" w:ascii="Arial" w:hAnsi="Arial" w:eastAsia="仿宋" w:cs="Arial"/>
                <w:color w:val="auto"/>
                <w:kern w:val="0"/>
                <w:sz w:val="21"/>
                <w:szCs w:val="21"/>
                <w:lang w:val="en-US" w:eastAsia="zh-CN"/>
              </w:rPr>
              <w:t>×</w:t>
            </w:r>
            <w:r>
              <w:rPr>
                <w:rFonts w:hint="default" w:ascii="Times New Roman" w:hAnsi="Times New Roman" w:eastAsia="仿宋" w:cs="Times New Roman"/>
                <w:color w:val="auto"/>
                <w:kern w:val="0"/>
                <w:sz w:val="21"/>
                <w:szCs w:val="21"/>
                <w:lang w:val="en-US" w:eastAsia="zh-CN"/>
              </w:rPr>
              <w:t>10</w:t>
            </w:r>
            <w:r>
              <w:rPr>
                <w:rFonts w:hint="default" w:ascii="Times New Roman" w:hAnsi="Times New Roman" w:eastAsia="仿宋" w:cs="Times New Roman"/>
                <w:color w:val="auto"/>
                <w:sz w:val="21"/>
                <w:szCs w:val="21"/>
                <w:vertAlign w:val="superscript"/>
                <w:lang w:val="en-US" w:eastAsia="zh-CN"/>
              </w:rPr>
              <w:t>-2</w:t>
            </w:r>
            <w:r>
              <w:rPr>
                <w:rFonts w:hint="default" w:ascii="Times New Roman" w:hAnsi="Times New Roman" w:eastAsia="仿宋" w:cs="Times New Roman"/>
                <w:color w:val="auto"/>
                <w:kern w:val="0"/>
                <w:sz w:val="21"/>
                <w:szCs w:val="21"/>
                <w:lang w:val="en-US" w:eastAsia="zh-CN"/>
              </w:rPr>
              <w:t>～1</w:t>
            </w:r>
            <w:r>
              <w:rPr>
                <w:rFonts w:hint="default" w:ascii="Arial" w:hAnsi="Arial" w:eastAsia="仿宋" w:cs="Arial"/>
                <w:color w:val="auto"/>
                <w:kern w:val="0"/>
                <w:sz w:val="21"/>
                <w:szCs w:val="21"/>
                <w:lang w:val="en-US" w:eastAsia="zh-CN"/>
              </w:rPr>
              <w:t>×</w:t>
            </w:r>
            <w:r>
              <w:rPr>
                <w:rFonts w:hint="default" w:ascii="Times New Roman" w:hAnsi="Times New Roman" w:eastAsia="仿宋" w:cs="Times New Roman"/>
                <w:color w:val="auto"/>
                <w:kern w:val="0"/>
                <w:sz w:val="21"/>
                <w:szCs w:val="21"/>
                <w:lang w:val="en-US" w:eastAsia="zh-CN"/>
              </w:rPr>
              <w:t>10</w:t>
            </w:r>
            <w:r>
              <w:rPr>
                <w:rFonts w:hint="default" w:ascii="Times New Roman" w:hAnsi="Times New Roman" w:eastAsia="仿宋" w:cs="Times New Roman"/>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335"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2132"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也许可能</w:t>
            </w:r>
          </w:p>
        </w:tc>
        <w:tc>
          <w:tcPr>
            <w:tcW w:w="3132"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装置寿命内发生一次以上</w:t>
            </w:r>
          </w:p>
        </w:tc>
        <w:tc>
          <w:tcPr>
            <w:tcW w:w="2201" w:type="dxa"/>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lang w:val="en-US" w:eastAsia="zh-CN"/>
              </w:rPr>
              <w:t>0.10～0.03125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335"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2132"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偶然</w:t>
            </w:r>
          </w:p>
        </w:tc>
        <w:tc>
          <w:tcPr>
            <w:tcW w:w="3132" w:type="dxa"/>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装置寿命内发生几次</w:t>
            </w:r>
          </w:p>
        </w:tc>
        <w:tc>
          <w:tcPr>
            <w:tcW w:w="2201" w:type="dxa"/>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lang w:val="en-US" w:eastAsia="zh-CN"/>
              </w:rPr>
              <w:t>0.3333～0.10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335"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2132"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可能</w:t>
            </w:r>
          </w:p>
        </w:tc>
        <w:tc>
          <w:tcPr>
            <w:tcW w:w="3132"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预计一年发生一次</w:t>
            </w:r>
          </w:p>
        </w:tc>
        <w:tc>
          <w:tcPr>
            <w:tcW w:w="2201" w:type="dxa"/>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lang w:val="en-US" w:eastAsia="zh-CN"/>
              </w:rPr>
              <w:t>1～0.3333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335"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2132"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频繁</w:t>
            </w:r>
          </w:p>
        </w:tc>
        <w:tc>
          <w:tcPr>
            <w:tcW w:w="3132"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预计一年发生一次以上</w:t>
            </w:r>
          </w:p>
        </w:tc>
        <w:tc>
          <w:tcPr>
            <w:tcW w:w="2201" w:type="dxa"/>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 w:val="21"/>
                <w:szCs w:val="21"/>
                <w:lang w:val="en-US" w:eastAsia="zh-CN"/>
              </w:rPr>
              <w:t>&gt;1</w:t>
            </w:r>
          </w:p>
        </w:tc>
      </w:tr>
    </w:tbl>
    <w:p>
      <w:pPr>
        <w:snapToGrid w:val="0"/>
        <w:ind w:firstLine="560" w:firstLineChars="200"/>
        <w:rPr>
          <w:rFonts w:hint="default" w:eastAsia="仿宋"/>
          <w:color w:val="auto"/>
          <w:sz w:val="28"/>
          <w:szCs w:val="28"/>
          <w:lang w:val="en-US" w:eastAsia="zh-CN"/>
        </w:rPr>
      </w:pPr>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一般事故是指造成3人以下死亡，或者10人以下重伤，或者 1000万元以下直接经济损失的事故。但此类事故如处置不当，将对环境产生不利影响。我国化工企业一般事故原因统计见表</w:t>
      </w:r>
      <w:r>
        <w:rPr>
          <w:rFonts w:hint="eastAsia" w:ascii="Times New Roman" w:hAnsi="Times New Roman" w:eastAsia="仿宋" w:cs="Times New Roman"/>
          <w:color w:val="auto"/>
          <w:sz w:val="28"/>
          <w:szCs w:val="28"/>
          <w:lang w:val="en-US" w:eastAsia="zh-CN"/>
        </w:rPr>
        <w:t>4.1-3。</w:t>
      </w:r>
    </w:p>
    <w:p>
      <w:pPr>
        <w:widowControl w:val="0"/>
        <w:wordWrap/>
        <w:adjustRightInd/>
        <w:snapToGrid w:val="0"/>
        <w:spacing w:beforeLines="50" w:line="240" w:lineRule="auto"/>
        <w:ind w:firstLine="482" w:firstLineChars="200"/>
        <w:jc w:val="center"/>
        <w:textAlignment w:val="auto"/>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 xml:space="preserve">表 </w:t>
      </w:r>
      <w:r>
        <w:rPr>
          <w:rFonts w:hint="eastAsia" w:ascii="Times New Roman" w:hAnsi="Times New Roman" w:eastAsia="仿宋" w:cs="Times New Roman"/>
          <w:b/>
          <w:bCs/>
          <w:color w:val="auto"/>
          <w:sz w:val="24"/>
          <w:szCs w:val="24"/>
          <w:highlight w:val="none"/>
          <w:lang w:val="en-US" w:eastAsia="zh-CN"/>
        </w:rPr>
        <w:t>4.1-3</w:t>
      </w:r>
      <w:r>
        <w:rPr>
          <w:rFonts w:hint="default" w:ascii="Times New Roman" w:hAnsi="Times New Roman" w:eastAsia="仿宋" w:cs="Times New Roman"/>
          <w:b/>
          <w:bCs/>
          <w:color w:val="auto"/>
          <w:sz w:val="24"/>
          <w:szCs w:val="24"/>
          <w:highlight w:val="none"/>
          <w:lang w:val="en-US" w:eastAsia="zh-CN"/>
        </w:rPr>
        <w:t xml:space="preserve"> 国外化工企业一般事故统计</w:t>
      </w:r>
    </w:p>
    <w:tbl>
      <w:tblPr>
        <w:tblStyle w:val="21"/>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979"/>
        <w:gridCol w:w="2989"/>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Align w:val="center"/>
          </w:tcPr>
          <w:p>
            <w:pPr>
              <w:widowControl/>
              <w:jc w:val="center"/>
              <w:rPr>
                <w:rFonts w:hint="default" w:ascii="Times New Roman" w:hAnsi="Times New Roman" w:eastAsia="仿宋" w:cs="Times New Roman"/>
                <w:b/>
                <w:color w:val="auto"/>
                <w:kern w:val="0"/>
                <w:sz w:val="21"/>
                <w:szCs w:val="21"/>
                <w:highlight w:val="none"/>
                <w:lang w:val="en-US" w:eastAsia="zh-CN"/>
              </w:rPr>
            </w:pPr>
            <w:r>
              <w:rPr>
                <w:rFonts w:hint="default" w:ascii="Times New Roman" w:hAnsi="Times New Roman" w:eastAsia="仿宋" w:cs="Times New Roman"/>
                <w:b/>
                <w:color w:val="auto"/>
                <w:kern w:val="0"/>
                <w:sz w:val="21"/>
                <w:szCs w:val="21"/>
                <w:highlight w:val="none"/>
                <w:lang w:val="en-US" w:eastAsia="zh-CN"/>
              </w:rPr>
              <w:t>序号</w:t>
            </w:r>
          </w:p>
        </w:tc>
        <w:tc>
          <w:tcPr>
            <w:tcW w:w="2979" w:type="dxa"/>
            <w:vAlign w:val="center"/>
          </w:tcPr>
          <w:p>
            <w:pPr>
              <w:widowControl/>
              <w:jc w:val="center"/>
              <w:rPr>
                <w:rFonts w:hint="default" w:ascii="Times New Roman" w:hAnsi="Times New Roman" w:eastAsia="仿宋" w:cs="Times New Roman"/>
                <w:b/>
                <w:color w:val="auto"/>
                <w:kern w:val="0"/>
                <w:sz w:val="21"/>
                <w:szCs w:val="21"/>
                <w:highlight w:val="none"/>
                <w:lang w:val="en-US" w:eastAsia="zh-CN"/>
              </w:rPr>
            </w:pPr>
            <w:r>
              <w:rPr>
                <w:rFonts w:hint="default" w:ascii="Times New Roman" w:hAnsi="Times New Roman" w:eastAsia="仿宋" w:cs="Times New Roman"/>
                <w:b/>
                <w:color w:val="auto"/>
                <w:kern w:val="0"/>
                <w:sz w:val="21"/>
                <w:szCs w:val="21"/>
                <w:highlight w:val="none"/>
                <w:lang w:val="en-US" w:eastAsia="zh-CN"/>
              </w:rPr>
              <w:t>事故原因</w:t>
            </w:r>
          </w:p>
        </w:tc>
        <w:tc>
          <w:tcPr>
            <w:tcW w:w="2989" w:type="dxa"/>
            <w:vAlign w:val="center"/>
          </w:tcPr>
          <w:p>
            <w:pPr>
              <w:widowControl/>
              <w:jc w:val="center"/>
              <w:rPr>
                <w:rFonts w:hint="default" w:ascii="Times New Roman" w:hAnsi="Times New Roman" w:eastAsia="仿宋" w:cs="Times New Roman"/>
                <w:b/>
                <w:color w:val="auto"/>
                <w:kern w:val="0"/>
                <w:sz w:val="21"/>
                <w:szCs w:val="21"/>
                <w:highlight w:val="none"/>
                <w:lang w:val="en-US" w:eastAsia="zh-CN"/>
              </w:rPr>
            </w:pPr>
            <w:r>
              <w:rPr>
                <w:rFonts w:hint="default" w:ascii="Times New Roman" w:hAnsi="Times New Roman" w:eastAsia="仿宋" w:cs="Times New Roman"/>
                <w:b/>
                <w:color w:val="auto"/>
                <w:kern w:val="0"/>
                <w:sz w:val="21"/>
                <w:szCs w:val="21"/>
                <w:highlight w:val="none"/>
                <w:lang w:val="en-US" w:eastAsia="zh-CN"/>
              </w:rPr>
              <w:t>发生概率</w:t>
            </w:r>
          </w:p>
        </w:tc>
        <w:tc>
          <w:tcPr>
            <w:tcW w:w="1733" w:type="dxa"/>
            <w:vAlign w:val="center"/>
          </w:tcPr>
          <w:p>
            <w:pPr>
              <w:widowControl/>
              <w:jc w:val="center"/>
              <w:rPr>
                <w:rFonts w:hint="default" w:ascii="Times New Roman" w:hAnsi="Times New Roman" w:eastAsia="仿宋" w:cs="Times New Roman"/>
                <w:b/>
                <w:color w:val="auto"/>
                <w:kern w:val="0"/>
                <w:sz w:val="21"/>
                <w:szCs w:val="21"/>
                <w:highlight w:val="none"/>
                <w:lang w:val="en-US" w:eastAsia="zh-CN"/>
              </w:rPr>
            </w:pPr>
            <w:r>
              <w:rPr>
                <w:rFonts w:hint="default" w:ascii="Times New Roman" w:hAnsi="Times New Roman" w:eastAsia="仿宋" w:cs="Times New Roman"/>
                <w:b/>
                <w:color w:val="auto"/>
                <w:kern w:val="0"/>
                <w:sz w:val="21"/>
                <w:szCs w:val="21"/>
                <w:highlight w:val="none"/>
                <w:lang w:val="en-US" w:eastAsia="zh-CN"/>
              </w:rPr>
              <w:t>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2979"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垫圈破损</w:t>
            </w:r>
          </w:p>
        </w:tc>
        <w:tc>
          <w:tcPr>
            <w:tcW w:w="2989"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w:t>
            </w:r>
            <w:r>
              <w:rPr>
                <w:rFonts w:hint="default" w:ascii="Arial" w:hAnsi="Arial" w:eastAsia="仿宋" w:cs="Arial"/>
                <w:color w:val="auto"/>
                <w:kern w:val="0"/>
                <w:sz w:val="21"/>
                <w:szCs w:val="21"/>
                <w:lang w:val="en-US" w:eastAsia="zh-CN"/>
              </w:rPr>
              <w:t>×</w:t>
            </w:r>
            <w:r>
              <w:rPr>
                <w:rFonts w:hint="default" w:ascii="Times New Roman" w:hAnsi="Times New Roman" w:eastAsia="宋体"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vertAlign w:val="superscript"/>
                <w:lang w:val="en-US" w:eastAsia="zh-CN"/>
              </w:rPr>
              <w:t>-2</w:t>
            </w:r>
          </w:p>
        </w:tc>
        <w:tc>
          <w:tcPr>
            <w:tcW w:w="1733"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2979"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仪表失灵</w:t>
            </w:r>
          </w:p>
        </w:tc>
        <w:tc>
          <w:tcPr>
            <w:tcW w:w="2989"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8.3</w:t>
            </w:r>
            <w:r>
              <w:rPr>
                <w:rFonts w:hint="default" w:ascii="Arial" w:hAnsi="Arial" w:eastAsia="仿宋" w:cs="Arial"/>
                <w:color w:val="auto"/>
                <w:kern w:val="0"/>
                <w:sz w:val="21"/>
                <w:szCs w:val="21"/>
                <w:lang w:val="en-US" w:eastAsia="zh-CN"/>
              </w:rPr>
              <w:t>×</w:t>
            </w:r>
            <w:r>
              <w:rPr>
                <w:rFonts w:hint="default" w:ascii="Times New Roman" w:hAnsi="Times New Roman" w:eastAsia="宋体"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vertAlign w:val="superscript"/>
                <w:lang w:val="en-US" w:eastAsia="zh-CN"/>
              </w:rPr>
              <w:t>-3</w:t>
            </w:r>
          </w:p>
        </w:tc>
        <w:tc>
          <w:tcPr>
            <w:tcW w:w="1733"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297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连接密封不良</w:t>
            </w:r>
          </w:p>
        </w:tc>
        <w:tc>
          <w:tcPr>
            <w:tcW w:w="298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8.3</w:t>
            </w:r>
            <w:r>
              <w:rPr>
                <w:rFonts w:hint="default" w:ascii="Arial" w:hAnsi="Arial" w:eastAsia="仿宋" w:cs="Arial"/>
                <w:color w:val="auto"/>
                <w:kern w:val="0"/>
                <w:sz w:val="21"/>
                <w:szCs w:val="21"/>
                <w:lang w:val="en-US" w:eastAsia="zh-CN"/>
              </w:rPr>
              <w:t>×</w:t>
            </w:r>
            <w:r>
              <w:rPr>
                <w:rFonts w:hint="default" w:ascii="Times New Roman" w:hAnsi="Times New Roman" w:eastAsia="宋体"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vertAlign w:val="superscript"/>
                <w:lang w:val="en-US" w:eastAsia="zh-CN"/>
              </w:rPr>
              <w:t>-3</w:t>
            </w:r>
          </w:p>
        </w:tc>
        <w:tc>
          <w:tcPr>
            <w:tcW w:w="1733"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297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泵故障</w:t>
            </w:r>
          </w:p>
        </w:tc>
        <w:tc>
          <w:tcPr>
            <w:tcW w:w="2989"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4.2</w:t>
            </w:r>
            <w:r>
              <w:rPr>
                <w:rFonts w:hint="default" w:ascii="Arial" w:hAnsi="Arial" w:eastAsia="仿宋" w:cs="Arial"/>
                <w:color w:val="auto"/>
                <w:kern w:val="0"/>
                <w:sz w:val="21"/>
                <w:szCs w:val="21"/>
                <w:lang w:val="en-US" w:eastAsia="zh-CN"/>
              </w:rPr>
              <w:t>×</w:t>
            </w:r>
            <w:r>
              <w:rPr>
                <w:rFonts w:hint="default" w:ascii="Times New Roman" w:hAnsi="Times New Roman" w:eastAsia="宋体"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vertAlign w:val="superscript"/>
                <w:lang w:val="en-US" w:eastAsia="zh-CN"/>
              </w:rPr>
              <w:t>-3</w:t>
            </w:r>
          </w:p>
        </w:tc>
        <w:tc>
          <w:tcPr>
            <w:tcW w:w="1733"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297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人为事故</w:t>
            </w:r>
          </w:p>
        </w:tc>
        <w:tc>
          <w:tcPr>
            <w:tcW w:w="298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8.3</w:t>
            </w:r>
            <w:r>
              <w:rPr>
                <w:rFonts w:hint="default" w:ascii="Arial" w:hAnsi="Arial" w:eastAsia="仿宋" w:cs="Arial"/>
                <w:color w:val="auto"/>
                <w:kern w:val="0"/>
                <w:sz w:val="21"/>
                <w:szCs w:val="21"/>
                <w:lang w:val="en-US" w:eastAsia="zh-CN"/>
              </w:rPr>
              <w:t>×</w:t>
            </w:r>
            <w:r>
              <w:rPr>
                <w:rFonts w:hint="default" w:ascii="Times New Roman" w:hAnsi="Times New Roman" w:eastAsia="宋体"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vertAlign w:val="superscript"/>
                <w:lang w:val="en-US" w:eastAsia="zh-CN"/>
              </w:rPr>
              <w:t>-3</w:t>
            </w:r>
          </w:p>
        </w:tc>
        <w:tc>
          <w:tcPr>
            <w:tcW w:w="1733"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w:t>
            </w:r>
          </w:p>
        </w:tc>
        <w:tc>
          <w:tcPr>
            <w:tcW w:w="297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合计</w:t>
            </w:r>
          </w:p>
        </w:tc>
        <w:tc>
          <w:tcPr>
            <w:tcW w:w="298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5.42</w:t>
            </w:r>
            <w:r>
              <w:rPr>
                <w:rFonts w:hint="default" w:ascii="Arial" w:hAnsi="Arial" w:eastAsia="仿宋" w:cs="Arial"/>
                <w:color w:val="auto"/>
                <w:kern w:val="0"/>
                <w:sz w:val="21"/>
                <w:szCs w:val="21"/>
                <w:lang w:val="en-US" w:eastAsia="zh-CN"/>
              </w:rPr>
              <w:t>×</w:t>
            </w:r>
            <w:r>
              <w:rPr>
                <w:rFonts w:hint="default" w:ascii="Times New Roman" w:hAnsi="Times New Roman" w:eastAsia="宋体"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vertAlign w:val="superscript"/>
                <w:lang w:val="en-US" w:eastAsia="zh-CN"/>
              </w:rPr>
              <w:t>-2</w:t>
            </w:r>
          </w:p>
        </w:tc>
        <w:tc>
          <w:tcPr>
            <w:tcW w:w="1733"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100</w:t>
            </w:r>
          </w:p>
        </w:tc>
      </w:tr>
    </w:tbl>
    <w:p>
      <w:pPr>
        <w:widowControl w:val="0"/>
        <w:wordWrap/>
        <w:adjustRightInd/>
        <w:snapToGrid w:val="0"/>
        <w:spacing w:beforeLines="50"/>
        <w:ind w:firstLine="482" w:firstLineChars="200"/>
        <w:jc w:val="center"/>
        <w:textAlignment w:val="auto"/>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 xml:space="preserve">表 </w:t>
      </w:r>
      <w:r>
        <w:rPr>
          <w:rFonts w:hint="eastAsia" w:ascii="Times New Roman" w:hAnsi="Times New Roman" w:eastAsia="仿宋" w:cs="Times New Roman"/>
          <w:b/>
          <w:bCs/>
          <w:color w:val="auto"/>
          <w:sz w:val="24"/>
          <w:szCs w:val="24"/>
          <w:highlight w:val="none"/>
          <w:lang w:val="en-US" w:eastAsia="zh-CN"/>
        </w:rPr>
        <w:t>4.1-4</w:t>
      </w:r>
      <w:r>
        <w:rPr>
          <w:rFonts w:hint="default" w:ascii="Times New Roman" w:hAnsi="Times New Roman" w:eastAsia="仿宋" w:cs="Times New Roman"/>
          <w:b/>
          <w:bCs/>
          <w:color w:val="auto"/>
          <w:sz w:val="24"/>
          <w:szCs w:val="24"/>
          <w:highlight w:val="none"/>
          <w:lang w:val="en-US" w:eastAsia="zh-CN"/>
        </w:rPr>
        <w:t xml:space="preserve"> 我国化工企业一般事故统计</w:t>
      </w:r>
    </w:p>
    <w:tbl>
      <w:tblPr>
        <w:tblStyle w:val="21"/>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5968"/>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Align w:val="center"/>
          </w:tcPr>
          <w:p>
            <w:pPr>
              <w:widowControl/>
              <w:jc w:val="center"/>
              <w:rPr>
                <w:rFonts w:hint="default" w:ascii="Times New Roman" w:hAnsi="Times New Roman" w:eastAsia="仿宋" w:cs="Times New Roman"/>
                <w:b/>
                <w:color w:val="auto"/>
                <w:kern w:val="0"/>
                <w:sz w:val="21"/>
                <w:szCs w:val="21"/>
                <w:highlight w:val="none"/>
                <w:lang w:val="en-US" w:eastAsia="zh-CN"/>
              </w:rPr>
            </w:pPr>
            <w:r>
              <w:rPr>
                <w:rFonts w:hint="default" w:ascii="Times New Roman" w:hAnsi="Times New Roman" w:eastAsia="仿宋" w:cs="Times New Roman"/>
                <w:b/>
                <w:color w:val="auto"/>
                <w:kern w:val="0"/>
                <w:sz w:val="21"/>
                <w:szCs w:val="21"/>
                <w:highlight w:val="none"/>
                <w:lang w:val="en-US" w:eastAsia="zh-CN"/>
              </w:rPr>
              <w:t>序号</w:t>
            </w:r>
          </w:p>
        </w:tc>
        <w:tc>
          <w:tcPr>
            <w:tcW w:w="5968" w:type="dxa"/>
            <w:vAlign w:val="center"/>
          </w:tcPr>
          <w:p>
            <w:pPr>
              <w:widowControl/>
              <w:jc w:val="center"/>
              <w:rPr>
                <w:rFonts w:hint="default" w:ascii="Times New Roman" w:hAnsi="Times New Roman" w:eastAsia="仿宋" w:cs="Times New Roman"/>
                <w:b/>
                <w:color w:val="auto"/>
                <w:kern w:val="0"/>
                <w:sz w:val="21"/>
                <w:szCs w:val="21"/>
                <w:highlight w:val="none"/>
                <w:lang w:val="en-US" w:eastAsia="zh-CN"/>
              </w:rPr>
            </w:pPr>
            <w:r>
              <w:rPr>
                <w:rFonts w:hint="default" w:ascii="Times New Roman" w:hAnsi="Times New Roman" w:eastAsia="仿宋" w:cs="Times New Roman"/>
                <w:b/>
                <w:color w:val="auto"/>
                <w:kern w:val="0"/>
                <w:sz w:val="21"/>
                <w:szCs w:val="21"/>
                <w:highlight w:val="none"/>
                <w:lang w:val="en-US" w:eastAsia="zh-CN"/>
              </w:rPr>
              <w:t>事故原因</w:t>
            </w:r>
          </w:p>
        </w:tc>
        <w:tc>
          <w:tcPr>
            <w:tcW w:w="1733" w:type="dxa"/>
            <w:vAlign w:val="center"/>
          </w:tcPr>
          <w:p>
            <w:pPr>
              <w:widowControl/>
              <w:jc w:val="center"/>
              <w:rPr>
                <w:rFonts w:hint="default" w:ascii="Times New Roman" w:hAnsi="Times New Roman" w:eastAsia="仿宋" w:cs="Times New Roman"/>
                <w:b/>
                <w:color w:val="auto"/>
                <w:kern w:val="0"/>
                <w:sz w:val="21"/>
                <w:szCs w:val="21"/>
                <w:highlight w:val="none"/>
                <w:lang w:val="en-US" w:eastAsia="zh-CN"/>
              </w:rPr>
            </w:pPr>
            <w:r>
              <w:rPr>
                <w:rFonts w:hint="default" w:ascii="Times New Roman" w:hAnsi="Times New Roman" w:eastAsia="仿宋" w:cs="Times New Roman"/>
                <w:b/>
                <w:color w:val="auto"/>
                <w:kern w:val="0"/>
                <w:sz w:val="21"/>
                <w:szCs w:val="21"/>
                <w:highlight w:val="none"/>
                <w:lang w:val="en-US" w:eastAsia="zh-CN"/>
              </w:rPr>
              <w:t>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5968"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储罐、管道和设备破损</w:t>
            </w:r>
          </w:p>
        </w:tc>
        <w:tc>
          <w:tcPr>
            <w:tcW w:w="1733"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5968"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操作失误</w:t>
            </w:r>
          </w:p>
        </w:tc>
        <w:tc>
          <w:tcPr>
            <w:tcW w:w="1733"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5968"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违反检修规程</w:t>
            </w:r>
          </w:p>
        </w:tc>
        <w:tc>
          <w:tcPr>
            <w:tcW w:w="1733"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5968"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处理系统故障</w:t>
            </w:r>
          </w:p>
        </w:tc>
        <w:tc>
          <w:tcPr>
            <w:tcW w:w="1733"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5968"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其它</w:t>
            </w:r>
          </w:p>
        </w:tc>
        <w:tc>
          <w:tcPr>
            <w:tcW w:w="1733"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w:t>
            </w:r>
          </w:p>
        </w:tc>
      </w:tr>
    </w:tbl>
    <w:p>
      <w:pPr>
        <w:snapToGrid w:val="0"/>
        <w:ind w:firstLine="562" w:firstLineChars="200"/>
        <w:rPr>
          <w:rFonts w:hint="eastAsia" w:eastAsia="仿宋"/>
          <w:b/>
          <w:bCs/>
          <w:color w:val="auto"/>
          <w:sz w:val="28"/>
          <w:szCs w:val="28"/>
        </w:rPr>
      </w:pPr>
    </w:p>
    <w:p>
      <w:pPr>
        <w:snapToGrid w:val="0"/>
        <w:spacing w:line="240" w:lineRule="auto"/>
        <w:ind w:firstLine="560" w:firstLineChars="200"/>
        <w:rPr>
          <w:rFonts w:hint="default" w:ascii="Times New Roman" w:hAnsi="Times New Roman" w:eastAsia="仿宋" w:cs="Times New Roman"/>
          <w:color w:val="auto"/>
          <w:sz w:val="28"/>
          <w:szCs w:val="28"/>
        </w:rPr>
      </w:pPr>
      <w:r>
        <w:rPr>
          <w:rFonts w:hint="eastAsia" w:eastAsia="仿宋"/>
          <w:color w:val="auto"/>
          <w:sz w:val="28"/>
          <w:szCs w:val="28"/>
        </w:rPr>
        <w:t>结合企业特点，丙烯酸储罐全部为地埋式储罐，且采用双层罐体，泄漏可能性较小，本项目主要的事故风险来自</w:t>
      </w:r>
      <w:r>
        <w:rPr>
          <w:rFonts w:hint="eastAsia" w:eastAsia="仿宋"/>
          <w:color w:val="auto"/>
          <w:sz w:val="28"/>
          <w:szCs w:val="28"/>
          <w:lang w:eastAsia="zh-CN"/>
        </w:rPr>
        <w:t>其他储罐、</w:t>
      </w:r>
      <w:r>
        <w:rPr>
          <w:rFonts w:hint="eastAsia" w:eastAsia="仿宋"/>
          <w:color w:val="auto"/>
          <w:sz w:val="28"/>
          <w:szCs w:val="28"/>
        </w:rPr>
        <w:t>生产装置反应釜及输送管线</w:t>
      </w:r>
      <w:r>
        <w:rPr>
          <w:rFonts w:hint="eastAsia" w:eastAsia="仿宋"/>
          <w:color w:val="auto"/>
          <w:sz w:val="28"/>
          <w:szCs w:val="28"/>
          <w:lang w:eastAsia="zh-CN"/>
        </w:rPr>
        <w:t>化学品</w:t>
      </w:r>
      <w:r>
        <w:rPr>
          <w:rFonts w:hint="eastAsia" w:eastAsia="仿宋"/>
          <w:color w:val="auto"/>
          <w:sz w:val="28"/>
          <w:szCs w:val="28"/>
        </w:rPr>
        <w:t>的泄漏，及泄漏后引发的火灾爆炸事故和伴生次生性环境污染事故。</w:t>
      </w:r>
    </w:p>
    <w:p>
      <w:pPr>
        <w:widowControl w:val="0"/>
        <w:wordWrap/>
        <w:adjustRightInd/>
        <w:snapToGrid w:val="0"/>
        <w:spacing w:beforeLines="50" w:afterLines="50" w:line="240" w:lineRule="auto"/>
        <w:textAlignment w:val="auto"/>
        <w:rPr>
          <w:rFonts w:hint="eastAsia" w:eastAsia="仿宋"/>
          <w:b/>
          <w:color w:val="auto"/>
          <w:sz w:val="28"/>
          <w:szCs w:val="28"/>
          <w:lang w:val="en-US" w:eastAsia="zh-CN"/>
        </w:rPr>
      </w:pPr>
      <w:r>
        <w:rPr>
          <w:rFonts w:hint="default" w:ascii="Times New Roman" w:hAnsi="Times New Roman" w:eastAsia="仿宋" w:cs="Times New Roman"/>
          <w:b/>
          <w:color w:val="auto"/>
          <w:sz w:val="28"/>
          <w:szCs w:val="28"/>
        </w:rPr>
        <w:t>4.</w:t>
      </w:r>
      <w:r>
        <w:rPr>
          <w:rFonts w:hint="default" w:ascii="Times New Roman" w:hAnsi="Times New Roman" w:eastAsia="仿宋" w:cs="Times New Roman"/>
          <w:b/>
          <w:color w:val="auto"/>
          <w:sz w:val="28"/>
          <w:szCs w:val="28"/>
          <w:lang w:val="en-US" w:eastAsia="zh-CN"/>
        </w:rPr>
        <w:t>1.2</w:t>
      </w:r>
      <w:r>
        <w:rPr>
          <w:rFonts w:hint="default" w:ascii="Times New Roman" w:hAnsi="Times New Roman" w:eastAsia="仿宋" w:cs="Times New Roman"/>
          <w:b/>
          <w:color w:val="auto"/>
          <w:sz w:val="28"/>
          <w:szCs w:val="28"/>
        </w:rPr>
        <w:t>.</w:t>
      </w:r>
      <w:r>
        <w:rPr>
          <w:rFonts w:hint="eastAsia" w:ascii="Times New Roman" w:hAnsi="Times New Roman" w:eastAsia="仿宋" w:cs="Times New Roman"/>
          <w:b/>
          <w:color w:val="auto"/>
          <w:sz w:val="28"/>
          <w:szCs w:val="28"/>
          <w:lang w:val="en-US" w:eastAsia="zh-CN"/>
        </w:rPr>
        <w:t>3</w:t>
      </w:r>
      <w:r>
        <w:rPr>
          <w:rFonts w:hint="default" w:ascii="Times New Roman" w:hAnsi="Times New Roman" w:eastAsia="仿宋" w:cs="Times New Roman"/>
          <w:b/>
          <w:color w:val="auto"/>
          <w:sz w:val="28"/>
          <w:szCs w:val="28"/>
          <w:lang w:eastAsia="zh-CN"/>
        </w:rPr>
        <w:t>、</w:t>
      </w:r>
      <w:r>
        <w:rPr>
          <w:rFonts w:hint="eastAsia" w:eastAsia="仿宋"/>
          <w:b/>
          <w:color w:val="auto"/>
          <w:sz w:val="28"/>
          <w:szCs w:val="28"/>
          <w:lang w:val="en-US" w:eastAsia="zh-CN"/>
        </w:rPr>
        <w:t>最大可信事故概率分析</w:t>
      </w:r>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 xml:space="preserve">有毒物质泄漏事故到大气中有两种可能，一是装置及管线有裂缝或破裂；另一种是自动控制失效。又可以分为正常操作与非正常操作两种情况下的泄漏。 </w:t>
      </w:r>
    </w:p>
    <w:p>
      <w:pPr>
        <w:snapToGrid w:val="0"/>
        <w:spacing w:line="240" w:lineRule="auto"/>
        <w:ind w:firstLine="560" w:firstLineChars="200"/>
        <w:rPr>
          <w:rFonts w:hint="default" w:eastAsia="仿宋"/>
          <w:color w:val="auto"/>
          <w:sz w:val="28"/>
          <w:szCs w:val="28"/>
          <w:lang w:val="en-US" w:eastAsia="zh-CN"/>
        </w:rPr>
      </w:pPr>
      <w:r>
        <w:rPr>
          <w:rFonts w:hint="default" w:ascii="Times New Roman" w:hAnsi="Times New Roman" w:eastAsia="仿宋" w:cs="Times New Roman"/>
          <w:color w:val="auto"/>
          <w:sz w:val="28"/>
          <w:szCs w:val="28"/>
          <w:lang w:val="en-US" w:eastAsia="zh-CN"/>
        </w:rPr>
        <w:t>事故概率可以通过事故树分析，确定以上事件后用概率计算法求得，亦可以通过统计资料及国内、外同类装置事故情况调查资料给出概率统计值本项目最大可信事故及概率分析见表 4.1-5</w:t>
      </w:r>
      <w:r>
        <w:rPr>
          <w:rFonts w:hint="default" w:eastAsia="仿宋"/>
          <w:color w:val="auto"/>
          <w:sz w:val="28"/>
          <w:szCs w:val="28"/>
          <w:lang w:val="en-US" w:eastAsia="zh-CN"/>
        </w:rPr>
        <w:t>。</w:t>
      </w:r>
    </w:p>
    <w:p>
      <w:pPr>
        <w:widowControl/>
        <w:jc w:val="center"/>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kern w:val="0"/>
          <w:sz w:val="24"/>
          <w:szCs w:val="24"/>
          <w:highlight w:val="none"/>
          <w:lang w:val="en-US" w:eastAsia="zh-CN"/>
        </w:rPr>
        <w:t>表4.1-5最大可信事故及其概率分析</w:t>
      </w:r>
    </w:p>
    <w:tbl>
      <w:tblPr>
        <w:tblStyle w:val="21"/>
        <w:tblW w:w="9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2"/>
        <w:gridCol w:w="1929"/>
        <w:gridCol w:w="3635"/>
        <w:gridCol w:w="2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912" w:type="dxa"/>
            <w:vAlign w:val="center"/>
          </w:tcPr>
          <w:p>
            <w:pPr>
              <w:widowControl/>
              <w:jc w:val="center"/>
              <w:rPr>
                <w:rFonts w:hint="default" w:ascii="Times New Roman" w:hAnsi="Times New Roman" w:eastAsia="仿宋" w:cs="Times New Roman"/>
                <w:b/>
                <w:color w:val="auto"/>
                <w:kern w:val="0"/>
                <w:sz w:val="21"/>
                <w:szCs w:val="21"/>
                <w:highlight w:val="none"/>
                <w:lang w:val="en-US" w:eastAsia="zh-CN"/>
              </w:rPr>
            </w:pPr>
            <w:r>
              <w:rPr>
                <w:rFonts w:hint="eastAsia" w:ascii="Times New Roman" w:hAnsi="Times New Roman" w:eastAsia="仿宋" w:cs="Times New Roman"/>
                <w:b/>
                <w:color w:val="auto"/>
                <w:kern w:val="0"/>
                <w:sz w:val="21"/>
                <w:szCs w:val="21"/>
                <w:highlight w:val="none"/>
                <w:lang w:val="en-US" w:eastAsia="zh-CN"/>
              </w:rPr>
              <w:t>序号</w:t>
            </w:r>
          </w:p>
        </w:tc>
        <w:tc>
          <w:tcPr>
            <w:tcW w:w="1929" w:type="dxa"/>
            <w:vAlign w:val="center"/>
          </w:tcPr>
          <w:p>
            <w:pPr>
              <w:widowControl/>
              <w:jc w:val="center"/>
              <w:rPr>
                <w:rFonts w:hint="default" w:ascii="Times New Roman" w:hAnsi="Times New Roman" w:eastAsia="仿宋" w:cs="Times New Roman"/>
                <w:b/>
                <w:color w:val="auto"/>
                <w:kern w:val="0"/>
                <w:sz w:val="21"/>
                <w:szCs w:val="21"/>
                <w:highlight w:val="none"/>
                <w:lang w:val="en-US" w:eastAsia="zh-CN"/>
              </w:rPr>
            </w:pPr>
            <w:r>
              <w:rPr>
                <w:rFonts w:hint="default" w:ascii="Times New Roman" w:hAnsi="Times New Roman" w:eastAsia="仿宋" w:cs="Times New Roman"/>
                <w:b/>
                <w:color w:val="auto"/>
                <w:kern w:val="0"/>
                <w:sz w:val="21"/>
                <w:szCs w:val="21"/>
                <w:highlight w:val="none"/>
                <w:lang w:val="en-US" w:eastAsia="zh-CN"/>
              </w:rPr>
              <w:t>可能的事故</w:t>
            </w:r>
          </w:p>
        </w:tc>
        <w:tc>
          <w:tcPr>
            <w:tcW w:w="3635" w:type="dxa"/>
            <w:vAlign w:val="center"/>
          </w:tcPr>
          <w:p>
            <w:pPr>
              <w:widowControl/>
              <w:jc w:val="center"/>
              <w:rPr>
                <w:rFonts w:hint="default" w:ascii="Times New Roman" w:hAnsi="Times New Roman" w:eastAsia="仿宋" w:cs="Times New Roman"/>
                <w:b/>
                <w:color w:val="auto"/>
                <w:kern w:val="0"/>
                <w:sz w:val="21"/>
                <w:szCs w:val="21"/>
                <w:highlight w:val="none"/>
                <w:lang w:val="en-US" w:eastAsia="zh-CN"/>
              </w:rPr>
            </w:pPr>
            <w:r>
              <w:rPr>
                <w:rFonts w:hint="default" w:ascii="Times New Roman" w:hAnsi="Times New Roman" w:eastAsia="仿宋" w:cs="Times New Roman"/>
                <w:b/>
                <w:color w:val="auto"/>
                <w:kern w:val="0"/>
                <w:sz w:val="21"/>
                <w:szCs w:val="21"/>
                <w:highlight w:val="none"/>
                <w:lang w:val="en-US" w:eastAsia="zh-CN"/>
              </w:rPr>
              <w:t>事故后果</w:t>
            </w:r>
          </w:p>
        </w:tc>
        <w:tc>
          <w:tcPr>
            <w:tcW w:w="2201" w:type="dxa"/>
            <w:vAlign w:val="center"/>
          </w:tcPr>
          <w:p>
            <w:pPr>
              <w:widowControl/>
              <w:jc w:val="center"/>
              <w:rPr>
                <w:rFonts w:hint="default" w:ascii="Times New Roman" w:hAnsi="Times New Roman" w:eastAsia="仿宋" w:cs="Times New Roman"/>
                <w:b/>
                <w:color w:val="auto"/>
                <w:kern w:val="0"/>
                <w:sz w:val="21"/>
                <w:szCs w:val="21"/>
                <w:highlight w:val="none"/>
                <w:lang w:val="en-US" w:eastAsia="zh-CN"/>
              </w:rPr>
            </w:pPr>
            <w:r>
              <w:rPr>
                <w:rFonts w:hint="default" w:ascii="Times New Roman" w:hAnsi="Times New Roman" w:eastAsia="仿宋" w:cs="Times New Roman"/>
                <w:b/>
                <w:color w:val="auto"/>
                <w:kern w:val="0"/>
                <w:sz w:val="21"/>
                <w:szCs w:val="21"/>
                <w:highlight w:val="none"/>
                <w:lang w:val="en-US" w:eastAsia="zh-CN"/>
              </w:rPr>
              <w:t>发生频率估计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12"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1929"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容器物理爆炸</w:t>
            </w:r>
          </w:p>
        </w:tc>
        <w:tc>
          <w:tcPr>
            <w:tcW w:w="3635"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物料泄漏、人员伤亡，后果十分严重</w:t>
            </w:r>
          </w:p>
        </w:tc>
        <w:tc>
          <w:tcPr>
            <w:tcW w:w="2201"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1.0×10</w:t>
            </w:r>
            <w:r>
              <w:rPr>
                <w:rFonts w:hint="default" w:ascii="Times New Roman" w:hAnsi="Times New Roman" w:eastAsia="宋体" w:cs="Times New Roman"/>
                <w:color w:val="auto"/>
                <w:kern w:val="0"/>
                <w:sz w:val="21"/>
                <w:szCs w:val="21"/>
                <w:highlight w:val="none"/>
                <w:vertAlign w:val="superscript"/>
                <w:lang w:val="en-US" w:eastAsia="zh-CN"/>
              </w:rPr>
              <w:t xml:space="preserve">-5 </w:t>
            </w:r>
            <w:r>
              <w:rPr>
                <w:rFonts w:hint="eastAsia" w:ascii="宋体" w:hAnsi="宋体" w:eastAsia="宋体" w:cs="宋体"/>
                <w:color w:val="auto"/>
                <w:kern w:val="0"/>
                <w:sz w:val="21"/>
                <w:szCs w:val="21"/>
                <w:highlight w:val="none"/>
                <w:lang w:val="en-US" w:eastAsia="zh-CN"/>
              </w:rPr>
              <w:t>次</w:t>
            </w:r>
            <w:r>
              <w:rPr>
                <w:rFonts w:hint="default" w:ascii="Times New Roman" w:hAnsi="Times New Roman" w:eastAsia="宋体" w:cs="Times New Roman"/>
                <w:color w:val="auto"/>
                <w:kern w:val="0"/>
                <w:sz w:val="21"/>
                <w:szCs w:val="21"/>
                <w:highlight w:val="no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12"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1929"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容器化学爆炸</w:t>
            </w:r>
          </w:p>
        </w:tc>
        <w:tc>
          <w:tcPr>
            <w:tcW w:w="3635"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物料泄漏、人员伤亡，后果十分严重</w:t>
            </w:r>
          </w:p>
        </w:tc>
        <w:tc>
          <w:tcPr>
            <w:tcW w:w="2201"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1.0×10</w:t>
            </w:r>
            <w:r>
              <w:rPr>
                <w:rFonts w:hint="default" w:ascii="Times New Roman" w:hAnsi="Times New Roman" w:eastAsia="宋体" w:cs="Times New Roman"/>
                <w:color w:val="auto"/>
                <w:kern w:val="0"/>
                <w:sz w:val="21"/>
                <w:szCs w:val="21"/>
                <w:highlight w:val="none"/>
                <w:vertAlign w:val="superscript"/>
                <w:lang w:val="en-US" w:eastAsia="zh-CN"/>
              </w:rPr>
              <w:t xml:space="preserve">-5 </w:t>
            </w:r>
            <w:r>
              <w:rPr>
                <w:rFonts w:hint="eastAsia" w:ascii="宋体" w:hAnsi="宋体" w:eastAsia="宋体" w:cs="宋体"/>
                <w:color w:val="auto"/>
                <w:kern w:val="0"/>
                <w:sz w:val="21"/>
                <w:szCs w:val="21"/>
                <w:highlight w:val="none"/>
                <w:lang w:val="en-US" w:eastAsia="zh-CN"/>
              </w:rPr>
              <w:t>次</w:t>
            </w:r>
            <w:r>
              <w:rPr>
                <w:rFonts w:hint="default" w:ascii="Times New Roman" w:hAnsi="Times New Roman" w:eastAsia="宋体" w:cs="Times New Roman"/>
                <w:color w:val="auto"/>
                <w:kern w:val="0"/>
                <w:sz w:val="21"/>
                <w:szCs w:val="21"/>
                <w:highlight w:val="no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12"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1929"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设备腐蚀</w:t>
            </w:r>
          </w:p>
        </w:tc>
        <w:tc>
          <w:tcPr>
            <w:tcW w:w="3635"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物料泄漏，后果较严重</w:t>
            </w:r>
          </w:p>
        </w:tc>
        <w:tc>
          <w:tcPr>
            <w:tcW w:w="2201"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r>
              <w:rPr>
                <w:rFonts w:hint="eastAsia" w:ascii="宋体" w:hAnsi="宋体" w:eastAsia="宋体" w:cs="宋体"/>
                <w:color w:val="auto"/>
                <w:kern w:val="0"/>
                <w:sz w:val="21"/>
                <w:szCs w:val="21"/>
                <w:highlight w:val="none"/>
                <w:lang w:val="en-US" w:eastAsia="zh-CN"/>
              </w:rPr>
              <w:t>次</w:t>
            </w:r>
            <w:r>
              <w:rPr>
                <w:rFonts w:hint="default" w:ascii="Times New Roman" w:hAnsi="Times New Roman" w:eastAsia="宋体" w:cs="Times New Roman"/>
                <w:color w:val="auto"/>
                <w:kern w:val="0"/>
                <w:sz w:val="21"/>
                <w:szCs w:val="21"/>
                <w:highlight w:val="no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12"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192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泄漏中毒</w:t>
            </w:r>
          </w:p>
        </w:tc>
        <w:tc>
          <w:tcPr>
            <w:tcW w:w="3635"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人员损伤，死亡，后果严重</w:t>
            </w:r>
          </w:p>
        </w:tc>
        <w:tc>
          <w:tcPr>
            <w:tcW w:w="2201"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1.0×10</w:t>
            </w:r>
            <w:r>
              <w:rPr>
                <w:rFonts w:hint="default" w:ascii="Times New Roman" w:hAnsi="Times New Roman" w:eastAsia="宋体" w:cs="Times New Roman"/>
                <w:color w:val="auto"/>
                <w:kern w:val="0"/>
                <w:sz w:val="21"/>
                <w:szCs w:val="21"/>
                <w:highlight w:val="none"/>
                <w:vertAlign w:val="superscript"/>
                <w:lang w:val="en-US" w:eastAsia="zh-CN"/>
              </w:rPr>
              <w:t xml:space="preserve">-5 </w:t>
            </w:r>
            <w:r>
              <w:rPr>
                <w:rFonts w:hint="eastAsia" w:ascii="宋体" w:hAnsi="宋体" w:eastAsia="宋体" w:cs="宋体"/>
                <w:color w:val="auto"/>
                <w:kern w:val="0"/>
                <w:sz w:val="21"/>
                <w:szCs w:val="21"/>
                <w:highlight w:val="none"/>
                <w:lang w:val="en-US" w:eastAsia="zh-CN"/>
              </w:rPr>
              <w:t>次</w:t>
            </w:r>
            <w:r>
              <w:rPr>
                <w:rFonts w:hint="default" w:ascii="Times New Roman" w:hAnsi="Times New Roman" w:eastAsia="宋体" w:cs="Times New Roman"/>
                <w:color w:val="auto"/>
                <w:kern w:val="0"/>
                <w:sz w:val="21"/>
                <w:szCs w:val="21"/>
                <w:highlight w:val="no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12"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1929" w:type="dxa"/>
            <w:vAlign w:val="center"/>
          </w:tcPr>
          <w:p>
            <w:pPr>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储运系统故障</w:t>
            </w:r>
          </w:p>
        </w:tc>
        <w:tc>
          <w:tcPr>
            <w:tcW w:w="3635"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物料泄漏，后果较严重</w:t>
            </w:r>
          </w:p>
        </w:tc>
        <w:tc>
          <w:tcPr>
            <w:tcW w:w="2201" w:type="dxa"/>
            <w:vAlign w:val="center"/>
          </w:tcPr>
          <w:p>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r>
              <w:rPr>
                <w:rFonts w:hint="eastAsia" w:ascii="宋体" w:hAnsi="宋体" w:eastAsia="宋体" w:cs="宋体"/>
                <w:color w:val="auto"/>
                <w:kern w:val="0"/>
                <w:sz w:val="21"/>
                <w:szCs w:val="21"/>
                <w:highlight w:val="none"/>
                <w:lang w:val="en-US" w:eastAsia="zh-CN"/>
              </w:rPr>
              <w:t>次</w:t>
            </w:r>
            <w:r>
              <w:rPr>
                <w:rFonts w:hint="default" w:ascii="Times New Roman" w:hAnsi="Times New Roman" w:eastAsia="宋体" w:cs="Times New Roman"/>
                <w:color w:val="auto"/>
                <w:kern w:val="0"/>
                <w:sz w:val="21"/>
                <w:szCs w:val="21"/>
                <w:highlight w:val="none"/>
                <w:lang w:val="en-US" w:eastAsia="zh-CN"/>
              </w:rPr>
              <w:t>/a</w:t>
            </w:r>
          </w:p>
        </w:tc>
      </w:tr>
    </w:tbl>
    <w:p>
      <w:pPr>
        <w:widowControl/>
        <w:wordWrap/>
        <w:adjustRightInd/>
        <w:snapToGrid/>
        <w:spacing w:beforeLines="50"/>
        <w:jc w:val="center"/>
        <w:textAlignment w:val="auto"/>
        <w:rPr>
          <w:rFonts w:hint="eastAsia" w:ascii="Times New Roman" w:hAnsi="Times New Roman" w:eastAsia="仿宋" w:cs="Times New Roman"/>
          <w:b/>
          <w:bCs w:val="0"/>
          <w:color w:val="auto"/>
          <w:kern w:val="0"/>
          <w:sz w:val="24"/>
          <w:szCs w:val="24"/>
          <w:highlight w:val="none"/>
          <w:lang w:val="en-US" w:eastAsia="zh-CN"/>
        </w:rPr>
      </w:pPr>
      <w:r>
        <w:rPr>
          <w:rFonts w:hint="eastAsia" w:ascii="Times New Roman" w:hAnsi="Times New Roman" w:eastAsia="仿宋" w:cs="Times New Roman"/>
          <w:b/>
          <w:bCs w:val="0"/>
          <w:color w:val="auto"/>
          <w:kern w:val="0"/>
          <w:sz w:val="24"/>
          <w:szCs w:val="24"/>
          <w:highlight w:val="none"/>
          <w:lang w:val="en-US" w:eastAsia="zh-CN"/>
        </w:rPr>
        <w:t>表 4.1-6 物料泄漏事故原因统计分析</w:t>
      </w:r>
    </w:p>
    <w:tbl>
      <w:tblPr>
        <w:tblStyle w:val="21"/>
        <w:tblW w:w="9654" w:type="dxa"/>
        <w:tblInd w:w="2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871"/>
        <w:gridCol w:w="1707"/>
        <w:gridCol w:w="1893"/>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vAlign w:val="top"/>
          </w:tcPr>
          <w:p>
            <w:pPr>
              <w:widowControl/>
              <w:jc w:val="center"/>
              <w:rPr>
                <w:rFonts w:hint="eastAsia" w:ascii="Times New Roman" w:hAnsi="Times New Roman" w:eastAsia="仿宋" w:cs="Times New Roman"/>
                <w:b/>
                <w:color w:val="auto"/>
                <w:kern w:val="0"/>
                <w:sz w:val="21"/>
                <w:szCs w:val="21"/>
                <w:lang w:val="en-US" w:eastAsia="zh-CN"/>
              </w:rPr>
            </w:pPr>
            <w:r>
              <w:rPr>
                <w:rFonts w:hint="eastAsia" w:ascii="Times New Roman" w:hAnsi="Times New Roman" w:eastAsia="仿宋" w:cs="Times New Roman"/>
                <w:b/>
                <w:color w:val="auto"/>
                <w:kern w:val="0"/>
                <w:sz w:val="21"/>
                <w:szCs w:val="21"/>
                <w:lang w:val="en-US" w:eastAsia="zh-CN"/>
              </w:rPr>
              <w:t>泵、阀门</w:t>
            </w:r>
          </w:p>
        </w:tc>
        <w:tc>
          <w:tcPr>
            <w:tcW w:w="1871" w:type="dxa"/>
            <w:vAlign w:val="top"/>
          </w:tcPr>
          <w:p>
            <w:pPr>
              <w:widowControl/>
              <w:jc w:val="center"/>
              <w:rPr>
                <w:rFonts w:hint="default" w:ascii="Times New Roman" w:hAnsi="Times New Roman" w:eastAsia="仿宋" w:cs="Times New Roman"/>
                <w:b/>
                <w:color w:val="auto"/>
                <w:kern w:val="0"/>
                <w:sz w:val="21"/>
                <w:szCs w:val="21"/>
                <w:lang w:val="en-US" w:eastAsia="zh-CN"/>
              </w:rPr>
            </w:pPr>
            <w:r>
              <w:rPr>
                <w:rFonts w:hint="eastAsia" w:ascii="Times New Roman" w:hAnsi="Times New Roman" w:eastAsia="仿宋" w:cs="Times New Roman"/>
                <w:b/>
                <w:color w:val="auto"/>
                <w:kern w:val="0"/>
                <w:sz w:val="21"/>
                <w:szCs w:val="21"/>
                <w:lang w:val="en-US" w:eastAsia="zh-CN"/>
              </w:rPr>
              <w:t>人为原因</w:t>
            </w:r>
          </w:p>
        </w:tc>
        <w:tc>
          <w:tcPr>
            <w:tcW w:w="1707" w:type="dxa"/>
            <w:vAlign w:val="top"/>
          </w:tcPr>
          <w:p>
            <w:pPr>
              <w:widowControl/>
              <w:jc w:val="center"/>
              <w:rPr>
                <w:rFonts w:hint="eastAsia" w:ascii="Times New Roman" w:hAnsi="Times New Roman" w:eastAsia="仿宋" w:cs="Times New Roman"/>
                <w:b/>
                <w:color w:val="auto"/>
                <w:kern w:val="0"/>
                <w:sz w:val="21"/>
                <w:szCs w:val="21"/>
                <w:lang w:val="en-US" w:eastAsia="zh-CN"/>
              </w:rPr>
            </w:pPr>
            <w:r>
              <w:rPr>
                <w:rFonts w:hint="eastAsia" w:ascii="Times New Roman" w:hAnsi="Times New Roman" w:eastAsia="仿宋" w:cs="Times New Roman"/>
                <w:b/>
                <w:color w:val="auto"/>
                <w:kern w:val="0"/>
                <w:sz w:val="21"/>
                <w:szCs w:val="21"/>
                <w:lang w:val="en-US" w:eastAsia="zh-CN"/>
              </w:rPr>
              <w:t>腐蚀穿孔</w:t>
            </w:r>
          </w:p>
        </w:tc>
        <w:tc>
          <w:tcPr>
            <w:tcW w:w="1893" w:type="dxa"/>
            <w:vAlign w:val="top"/>
          </w:tcPr>
          <w:p>
            <w:pPr>
              <w:widowControl/>
              <w:jc w:val="center"/>
              <w:rPr>
                <w:rFonts w:hint="eastAsia" w:ascii="Times New Roman" w:hAnsi="Times New Roman" w:eastAsia="仿宋" w:cs="Times New Roman"/>
                <w:b/>
                <w:color w:val="auto"/>
                <w:kern w:val="0"/>
                <w:sz w:val="21"/>
                <w:szCs w:val="21"/>
                <w:lang w:val="en-US" w:eastAsia="zh-CN"/>
              </w:rPr>
            </w:pPr>
            <w:r>
              <w:rPr>
                <w:rFonts w:hint="eastAsia" w:ascii="Times New Roman" w:hAnsi="Times New Roman" w:eastAsia="仿宋" w:cs="Times New Roman"/>
                <w:b/>
                <w:color w:val="auto"/>
                <w:kern w:val="0"/>
                <w:sz w:val="21"/>
                <w:szCs w:val="21"/>
                <w:lang w:val="en-US" w:eastAsia="zh-CN"/>
              </w:rPr>
              <w:t>工程隐患</w:t>
            </w:r>
          </w:p>
        </w:tc>
        <w:tc>
          <w:tcPr>
            <w:tcW w:w="2610" w:type="dxa"/>
            <w:vAlign w:val="top"/>
          </w:tcPr>
          <w:p>
            <w:pPr>
              <w:widowControl/>
              <w:jc w:val="center"/>
              <w:rPr>
                <w:rFonts w:hint="eastAsia" w:ascii="Times New Roman" w:hAnsi="Times New Roman" w:eastAsia="仿宋" w:cs="Times New Roman"/>
                <w:b/>
                <w:color w:val="auto"/>
                <w:kern w:val="0"/>
                <w:sz w:val="21"/>
                <w:szCs w:val="21"/>
                <w:lang w:val="en-US" w:eastAsia="zh-CN"/>
              </w:rPr>
            </w:pPr>
            <w:r>
              <w:rPr>
                <w:rFonts w:hint="eastAsia" w:ascii="Times New Roman" w:hAnsi="Times New Roman" w:eastAsia="仿宋" w:cs="Times New Roman"/>
                <w:b/>
                <w:color w:val="auto"/>
                <w:kern w:val="0"/>
                <w:sz w:val="21"/>
                <w:szCs w:val="21"/>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573"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40.5%</w:t>
            </w:r>
          </w:p>
        </w:tc>
        <w:tc>
          <w:tcPr>
            <w:tcW w:w="1871"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15.0%</w:t>
            </w:r>
          </w:p>
        </w:tc>
        <w:tc>
          <w:tcPr>
            <w:tcW w:w="1707"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6.5%</w:t>
            </w:r>
          </w:p>
        </w:tc>
        <w:tc>
          <w:tcPr>
            <w:tcW w:w="1893"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19.7%</w:t>
            </w:r>
          </w:p>
        </w:tc>
        <w:tc>
          <w:tcPr>
            <w:tcW w:w="2610" w:type="dxa"/>
            <w:vAlign w:val="center"/>
          </w:tcPr>
          <w:p>
            <w:pPr>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18.3%</w:t>
            </w:r>
          </w:p>
        </w:tc>
      </w:tr>
    </w:tbl>
    <w:p>
      <w:pPr>
        <w:widowControl w:val="0"/>
        <w:wordWrap/>
        <w:adjustRightInd/>
        <w:snapToGrid/>
        <w:spacing w:after="0" w:line="240" w:lineRule="auto"/>
        <w:ind w:firstLine="560" w:firstLineChars="200"/>
        <w:jc w:val="left"/>
        <w:textAlignment w:val="auto"/>
        <w:rPr>
          <w:rFonts w:hint="default" w:ascii="Times New Roman" w:hAnsi="Times New Roman" w:eastAsia="仿宋" w:cs="Times New Roman"/>
          <w:color w:val="auto"/>
          <w:sz w:val="28"/>
          <w:szCs w:val="28"/>
        </w:rPr>
        <w:sectPr>
          <w:pgSz w:w="11906" w:h="16840"/>
          <w:pgMar w:top="1340" w:right="860" w:bottom="1420" w:left="1180" w:header="737" w:footer="1233"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仿宋" w:cs="Times New Roman"/>
          <w:color w:val="auto"/>
          <w:sz w:val="28"/>
          <w:szCs w:val="28"/>
          <w:lang w:val="en-US" w:eastAsia="zh-CN"/>
        </w:rPr>
        <w:t>确定本项目最大可信事故为反应釜及输送管线破损导致的</w:t>
      </w:r>
      <w:r>
        <w:rPr>
          <w:rFonts w:hint="eastAsia" w:ascii="Times New Roman" w:hAnsi="Times New Roman" w:eastAsia="仿宋" w:cs="Times New Roman"/>
          <w:color w:val="auto"/>
          <w:sz w:val="28"/>
          <w:szCs w:val="28"/>
          <w:lang w:val="en-US" w:eastAsia="zh-CN"/>
        </w:rPr>
        <w:t>丙烯酸</w:t>
      </w:r>
      <w:r>
        <w:rPr>
          <w:rFonts w:hint="default" w:ascii="Times New Roman" w:hAnsi="Times New Roman" w:eastAsia="仿宋" w:cs="Times New Roman"/>
          <w:color w:val="auto"/>
          <w:sz w:val="28"/>
          <w:szCs w:val="28"/>
          <w:lang w:val="en-US" w:eastAsia="zh-CN"/>
        </w:rPr>
        <w:t>泄漏事故，概率均为1.0×10</w:t>
      </w:r>
      <w:r>
        <w:rPr>
          <w:rFonts w:hint="default" w:ascii="Times New Roman" w:hAnsi="Times New Roman" w:eastAsia="仿宋" w:cs="Times New Roman"/>
          <w:color w:val="auto"/>
          <w:sz w:val="28"/>
          <w:szCs w:val="28"/>
          <w:vertAlign w:val="superscript"/>
          <w:lang w:val="en-US" w:eastAsia="zh-CN"/>
        </w:rPr>
        <w:t>-5</w:t>
      </w:r>
      <w:r>
        <w:rPr>
          <w:rFonts w:hint="default" w:ascii="Times New Roman" w:hAnsi="Times New Roman" w:eastAsia="仿宋" w:cs="Times New Roman"/>
          <w:color w:val="auto"/>
          <w:sz w:val="28"/>
          <w:szCs w:val="28"/>
          <w:lang w:val="en-US" w:eastAsia="zh-CN"/>
        </w:rPr>
        <w:t>次/a，风险概率水平属于中等偏下概率的工程风险事件，应有防范措施。</w:t>
      </w:r>
    </w:p>
    <w:p>
      <w:pPr>
        <w:pStyle w:val="5"/>
        <w:keepNext/>
        <w:keepLines/>
        <w:widowControl w:val="0"/>
        <w:wordWrap/>
        <w:adjustRightInd w:val="0"/>
        <w:snapToGrid w:val="0"/>
        <w:spacing w:beforeLines="50" w:beforeAutospacing="0" w:afterLines="50" w:line="240" w:lineRule="auto"/>
        <w:ind w:left="0"/>
        <w:jc w:val="both"/>
        <w:textAlignment w:val="auto"/>
        <w:outlineLvl w:val="1"/>
        <w:rPr>
          <w:rFonts w:hint="default" w:ascii="Times New Roman" w:hAnsi="Times New Roman" w:eastAsia="仿宋" w:cs="Times New Roman"/>
          <w:b/>
          <w:color w:val="auto"/>
          <w:sz w:val="30"/>
          <w:szCs w:val="30"/>
          <w:lang w:eastAsia="zh-CN"/>
        </w:rPr>
      </w:pPr>
      <w:bookmarkStart w:id="74" w:name="_Toc18273"/>
      <w:r>
        <w:rPr>
          <w:rFonts w:hint="default" w:ascii="Times New Roman" w:hAnsi="Times New Roman" w:eastAsia="仿宋" w:cs="Times New Roman"/>
          <w:b/>
          <w:color w:val="auto"/>
          <w:sz w:val="30"/>
          <w:szCs w:val="30"/>
          <w:lang w:eastAsia="zh-CN"/>
        </w:rPr>
        <w:t>4.2突发环境事件源强分析</w:t>
      </w:r>
      <w:bookmarkEnd w:id="74"/>
    </w:p>
    <w:p>
      <w:pPr>
        <w:pStyle w:val="6"/>
        <w:keepNext/>
        <w:keepLines/>
        <w:widowControl w:val="0"/>
        <w:wordWrap/>
        <w:adjustRightInd w:val="0"/>
        <w:snapToGrid w:val="0"/>
        <w:spacing w:beforeLines="50" w:beforeAutospacing="0" w:afterLines="50" w:line="240" w:lineRule="auto"/>
        <w:ind w:left="0"/>
        <w:jc w:val="both"/>
        <w:textAlignment w:val="auto"/>
        <w:outlineLvl w:val="2"/>
        <w:rPr>
          <w:rFonts w:hint="default" w:ascii="Times New Roman" w:hAnsi="Times New Roman" w:eastAsia="仿宋" w:cs="Times New Roman"/>
          <w:b/>
          <w:color w:val="auto"/>
          <w:sz w:val="28"/>
          <w:szCs w:val="28"/>
          <w:lang w:val="en-US" w:eastAsia="zh-CN"/>
        </w:rPr>
      </w:pPr>
      <w:bookmarkStart w:id="75" w:name="_Toc30770"/>
      <w:r>
        <w:rPr>
          <w:rFonts w:hint="default" w:ascii="Times New Roman" w:hAnsi="Times New Roman" w:eastAsia="仿宋" w:cs="Times New Roman"/>
          <w:b/>
          <w:color w:val="auto"/>
          <w:sz w:val="28"/>
          <w:szCs w:val="28"/>
          <w:lang w:val="en-US" w:eastAsia="zh-CN"/>
        </w:rPr>
        <w:t>4.2.1泄露事故源强分析</w:t>
      </w:r>
      <w:bookmarkEnd w:id="75"/>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1）本项目引发火灾、爆炸事件的因素主要为储罐区、管道输送过程中、反应釜中丙烯酸泄露引发的火灾、爆炸事故较多，丙烯酸属于易燃液体，其蒸气与空气可形成爆炸性混合物，遇明火、高热能引起燃烧爆炸。如遇电线破损遇水短路、人员吸烟及设备操作不当等均会引发火灾及爆炸事件。本项目的丙烯酸采用地埋式钢筋混凝土双层罐体结构，泄露的可能性较小，主要考虑生产装置反应釜及输送管线丙烯酸的泄漏。</w:t>
      </w:r>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2）双氧水以液态形式储存在25KG包装桶中，全部储存在2#仓库（甲类），其发生泄漏后全部流入地势低洼处形成液池，液体表面由于受到表面风的对流而蒸发，双氧水分解物氧气遇可燃物质就可能会发生火灾事故。</w:t>
      </w:r>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3）巯基丙酸以液态形式储存在200KG包装桶中全部储存在1#仓库（丙类），其发生泄漏后可能会引发巯基丙酸中毒事件。考虑1只200kg装巯基丙酸包装桶发生破裂，桶内物料流入地面地洼处。工作人员10min发现事故并及时</w:t>
      </w:r>
      <w:r>
        <w:rPr>
          <w:rFonts w:hint="eastAsia" w:ascii="Times New Roman" w:hAnsi="Times New Roman" w:eastAsia="仿宋" w:cs="Times New Roman"/>
          <w:color w:val="auto"/>
          <w:sz w:val="28"/>
          <w:szCs w:val="28"/>
          <w:lang w:val="en-US" w:eastAsia="zh-CN"/>
        </w:rPr>
        <w:t>处理</w:t>
      </w:r>
      <w:r>
        <w:rPr>
          <w:rFonts w:hint="default" w:ascii="Times New Roman" w:hAnsi="Times New Roman" w:eastAsia="仿宋" w:cs="Times New Roman"/>
          <w:color w:val="auto"/>
          <w:sz w:val="28"/>
          <w:szCs w:val="28"/>
          <w:lang w:val="en-US" w:eastAsia="zh-CN"/>
        </w:rPr>
        <w:t>。</w:t>
      </w:r>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w:t>
      </w:r>
      <w:r>
        <w:rPr>
          <w:rFonts w:hint="eastAsia" w:ascii="Times New Roman" w:hAnsi="Times New Roman" w:eastAsia="仿宋" w:cs="Times New Roman"/>
          <w:color w:val="auto"/>
          <w:sz w:val="28"/>
          <w:szCs w:val="28"/>
          <w:lang w:val="en-US" w:eastAsia="zh-CN"/>
        </w:rPr>
        <w:t>4</w:t>
      </w:r>
      <w:r>
        <w:rPr>
          <w:rFonts w:hint="default" w:ascii="Times New Roman" w:hAnsi="Times New Roman" w:eastAsia="仿宋" w:cs="Times New Roman"/>
          <w:color w:val="auto"/>
          <w:sz w:val="28"/>
          <w:szCs w:val="28"/>
          <w:lang w:val="en-US" w:eastAsia="zh-CN"/>
        </w:rPr>
        <w:t>）液碱以液态的形式储存在储罐内，储罐容积为50m3，发生泄漏后可能会发生伤人事件。工作人员10min发现事故并及时堵漏。</w:t>
      </w:r>
      <w:r>
        <w:rPr>
          <w:rFonts w:hint="eastAsia" w:ascii="Times New Roman" w:hAnsi="Times New Roman" w:eastAsia="仿宋" w:cs="Times New Roman"/>
          <w:color w:val="auto"/>
          <w:sz w:val="28"/>
          <w:szCs w:val="28"/>
          <w:lang w:val="en-US" w:eastAsia="zh-CN"/>
        </w:rPr>
        <w:t>泄露的物料通过收集沟排至事故池，周围有围堰，不会泄漏至罐区外。</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w:t>
      </w:r>
      <w:r>
        <w:rPr>
          <w:rFonts w:hint="eastAsia"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val="en-US" w:eastAsia="zh-CN"/>
        </w:rPr>
        <w:t>）聚醚以液态的形式储存在储罐内，储罐容积为100m3，发生泄漏后可能会发生中毒、环境污染事件。工作人员10min发现事故并及时堵漏</w:t>
      </w:r>
      <w:r>
        <w:rPr>
          <w:rFonts w:hint="eastAsia" w:ascii="Times New Roman" w:hAnsi="Times New Roman" w:eastAsia="仿宋" w:cs="Times New Roman"/>
          <w:color w:val="auto"/>
          <w:sz w:val="28"/>
          <w:szCs w:val="28"/>
          <w:lang w:val="en-US" w:eastAsia="zh-CN"/>
        </w:rPr>
        <w:t>，泄露的物料通过收集沟排至事故池，周围有围堰，不会泄露至罐区外。</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w:t>
      </w:r>
      <w:r>
        <w:rPr>
          <w:rFonts w:hint="eastAsia" w:ascii="Times New Roman" w:hAnsi="Times New Roman" w:eastAsia="仿宋" w:cs="Times New Roman"/>
          <w:color w:val="auto"/>
          <w:sz w:val="28"/>
          <w:szCs w:val="28"/>
          <w:lang w:val="en-US" w:eastAsia="zh-CN"/>
        </w:rPr>
        <w:t>6</w:t>
      </w:r>
      <w:r>
        <w:rPr>
          <w:rFonts w:hint="default" w:ascii="Times New Roman" w:hAnsi="Times New Roman" w:eastAsia="仿宋" w:cs="Times New Roman"/>
          <w:color w:val="auto"/>
          <w:sz w:val="28"/>
          <w:szCs w:val="28"/>
          <w:lang w:val="en-US" w:eastAsia="zh-CN"/>
        </w:rPr>
        <w:t>）</w:t>
      </w:r>
      <w:r>
        <w:rPr>
          <w:rFonts w:hint="eastAsia" w:ascii="Times New Roman" w:hAnsi="Times New Roman" w:eastAsia="仿宋" w:cs="Times New Roman"/>
          <w:color w:val="auto"/>
          <w:sz w:val="28"/>
          <w:szCs w:val="28"/>
          <w:lang w:val="en-US" w:eastAsia="zh-CN"/>
        </w:rPr>
        <w:t>外加剂成品</w:t>
      </w:r>
      <w:r>
        <w:rPr>
          <w:rFonts w:hint="default" w:ascii="Times New Roman" w:hAnsi="Times New Roman" w:eastAsia="仿宋" w:cs="Times New Roman"/>
          <w:color w:val="auto"/>
          <w:sz w:val="28"/>
          <w:szCs w:val="28"/>
          <w:lang w:val="en-US" w:eastAsia="zh-CN"/>
        </w:rPr>
        <w:t>以液态的形式储存在储罐内，</w:t>
      </w:r>
      <w:r>
        <w:rPr>
          <w:rFonts w:hint="eastAsia" w:ascii="Times New Roman" w:hAnsi="Times New Roman" w:eastAsia="仿宋" w:cs="Times New Roman"/>
          <w:color w:val="auto"/>
          <w:sz w:val="28"/>
          <w:szCs w:val="28"/>
          <w:lang w:val="en-US" w:eastAsia="zh-CN"/>
        </w:rPr>
        <w:t>毒性较小。</w:t>
      </w:r>
      <w:r>
        <w:rPr>
          <w:rFonts w:hint="default" w:ascii="Times New Roman" w:hAnsi="Times New Roman" w:eastAsia="仿宋" w:cs="Times New Roman"/>
          <w:color w:val="auto"/>
          <w:sz w:val="28"/>
          <w:szCs w:val="28"/>
          <w:lang w:val="en-US" w:eastAsia="zh-CN"/>
        </w:rPr>
        <w:t>储罐容积为</w:t>
      </w:r>
      <w:r>
        <w:rPr>
          <w:rFonts w:hint="eastAsia" w:ascii="Times New Roman" w:hAnsi="Times New Roman" w:eastAsia="仿宋" w:cs="Times New Roman"/>
          <w:color w:val="auto"/>
          <w:sz w:val="28"/>
          <w:szCs w:val="28"/>
          <w:lang w:val="en-US" w:eastAsia="zh-CN"/>
        </w:rPr>
        <w:t>200m</w:t>
      </w:r>
      <w:r>
        <w:rPr>
          <w:rFonts w:hint="eastAsia" w:ascii="Times New Roman" w:hAnsi="Times New Roman" w:eastAsia="仿宋" w:cs="Times New Roman"/>
          <w:color w:val="auto"/>
          <w:sz w:val="28"/>
          <w:szCs w:val="28"/>
          <w:vertAlign w:val="superscript"/>
          <w:lang w:val="en-US" w:eastAsia="zh-CN"/>
        </w:rPr>
        <w:t>3</w:t>
      </w:r>
      <w:r>
        <w:rPr>
          <w:rFonts w:hint="eastAsia" w:ascii="Times New Roman" w:hAnsi="Times New Roman" w:eastAsia="仿宋" w:cs="Times New Roman"/>
          <w:color w:val="auto"/>
          <w:sz w:val="28"/>
          <w:szCs w:val="28"/>
          <w:lang w:val="en-US" w:eastAsia="zh-CN"/>
        </w:rPr>
        <w:t>和</w:t>
      </w:r>
      <w:r>
        <w:rPr>
          <w:rFonts w:hint="default" w:ascii="Times New Roman" w:hAnsi="Times New Roman" w:eastAsia="仿宋" w:cs="Times New Roman"/>
          <w:color w:val="auto"/>
          <w:sz w:val="28"/>
          <w:szCs w:val="28"/>
          <w:lang w:val="en-US" w:eastAsia="zh-CN"/>
        </w:rPr>
        <w:t>100m</w:t>
      </w:r>
      <w:r>
        <w:rPr>
          <w:rFonts w:hint="default" w:ascii="Times New Roman" w:hAnsi="Times New Roman" w:eastAsia="仿宋" w:cs="Times New Roman"/>
          <w:color w:val="auto"/>
          <w:sz w:val="28"/>
          <w:szCs w:val="28"/>
          <w:vertAlign w:val="superscript"/>
          <w:lang w:val="en-US" w:eastAsia="zh-CN"/>
        </w:rPr>
        <w:t>3</w:t>
      </w:r>
      <w:r>
        <w:rPr>
          <w:rFonts w:hint="default" w:ascii="Times New Roman" w:hAnsi="Times New Roman" w:eastAsia="仿宋" w:cs="Times New Roman"/>
          <w:color w:val="auto"/>
          <w:sz w:val="28"/>
          <w:szCs w:val="28"/>
          <w:lang w:val="en-US" w:eastAsia="zh-CN"/>
        </w:rPr>
        <w:t>，发生泄漏后可能会发生环境污染事件。工作人员10min发现事故并及时堵漏</w:t>
      </w:r>
      <w:r>
        <w:rPr>
          <w:rFonts w:hint="eastAsia" w:ascii="Times New Roman" w:hAnsi="Times New Roman" w:eastAsia="仿宋" w:cs="Times New Roman"/>
          <w:color w:val="auto"/>
          <w:sz w:val="28"/>
          <w:szCs w:val="28"/>
          <w:lang w:val="en-US" w:eastAsia="zh-CN"/>
        </w:rPr>
        <w:t>，泄露的物料通过收集沟排至事故池，周围有围堰，不会泄露至罐区外。</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经以上分析，以丙烯酸泄露的影响较大，</w:t>
      </w:r>
      <w:r>
        <w:rPr>
          <w:rFonts w:hint="default" w:ascii="Times New Roman" w:hAnsi="Times New Roman" w:eastAsia="仿宋" w:cs="Times New Roman"/>
          <w:color w:val="auto"/>
          <w:sz w:val="28"/>
          <w:szCs w:val="28"/>
          <w:lang w:val="en-US" w:eastAsia="zh-CN"/>
        </w:rPr>
        <w:t>丙烯酸泄露</w:t>
      </w:r>
      <w:r>
        <w:rPr>
          <w:rFonts w:hint="eastAsia" w:ascii="Times New Roman" w:hAnsi="Times New Roman" w:eastAsia="仿宋" w:cs="Times New Roman"/>
          <w:color w:val="auto"/>
          <w:sz w:val="28"/>
          <w:szCs w:val="28"/>
          <w:lang w:val="en-US" w:eastAsia="zh-CN"/>
        </w:rPr>
        <w:t>源强计算如下：</w:t>
      </w:r>
    </w:p>
    <w:p>
      <w:pPr>
        <w:widowControl w:val="0"/>
        <w:tabs>
          <w:tab w:val="left" w:pos="883"/>
        </w:tabs>
        <w:wordWrap/>
        <w:adjustRightInd/>
        <w:snapToGrid/>
        <w:spacing w:line="360" w:lineRule="auto"/>
        <w:ind w:firstLine="562" w:firstLineChars="200"/>
        <w:jc w:val="left"/>
        <w:textAlignment w:val="auto"/>
        <w:rPr>
          <w:rFonts w:hint="eastAsia" w:eastAsia="仿宋"/>
          <w:b/>
          <w:bCs/>
          <w:color w:val="auto"/>
          <w:sz w:val="28"/>
          <w:szCs w:val="28"/>
          <w:lang w:val="en-US" w:eastAsia="zh-CN"/>
        </w:rPr>
      </w:pPr>
      <w:r>
        <w:rPr>
          <w:rFonts w:hint="eastAsia" w:eastAsia="仿宋"/>
          <w:b/>
          <w:bCs/>
          <w:color w:val="auto"/>
          <w:sz w:val="28"/>
          <w:szCs w:val="28"/>
          <w:lang w:val="en-US" w:eastAsia="zh-CN"/>
        </w:rPr>
        <w:t>泄露速率及泄漏量</w:t>
      </w:r>
    </w:p>
    <w:p>
      <w:pPr>
        <w:snapToGrid w:val="0"/>
        <w:ind w:firstLine="573"/>
        <w:rPr>
          <w:rFonts w:hint="eastAsia" w:ascii="宋体" w:hAnsi="宋体"/>
          <w:color w:val="auto"/>
          <w:sz w:val="28"/>
          <w:szCs w:val="28"/>
        </w:rPr>
      </w:pPr>
      <w:r>
        <w:rPr>
          <w:rFonts w:eastAsia="仿宋"/>
          <w:color w:val="auto"/>
          <w:sz w:val="28"/>
          <w:szCs w:val="28"/>
        </w:rPr>
        <w:t>按《建设项目环境风险评价技术导则》</w:t>
      </w:r>
      <w:r>
        <w:rPr>
          <w:rFonts w:hint="eastAsia" w:eastAsia="仿宋"/>
          <w:color w:val="auto"/>
          <w:sz w:val="28"/>
          <w:szCs w:val="28"/>
        </w:rPr>
        <w:t>（HJ/T169-2018）</w:t>
      </w:r>
      <w:r>
        <w:rPr>
          <w:rFonts w:eastAsia="仿宋"/>
          <w:color w:val="auto"/>
          <w:sz w:val="28"/>
          <w:szCs w:val="28"/>
        </w:rPr>
        <w:t>附录</w:t>
      </w:r>
      <w:r>
        <w:rPr>
          <w:rFonts w:hint="eastAsia" w:eastAsia="仿宋"/>
          <w:color w:val="auto"/>
          <w:sz w:val="28"/>
          <w:szCs w:val="28"/>
        </w:rPr>
        <w:t>F.1.1</w:t>
      </w:r>
      <w:r>
        <w:rPr>
          <w:rFonts w:eastAsia="仿宋"/>
          <w:color w:val="auto"/>
          <w:sz w:val="28"/>
          <w:szCs w:val="28"/>
        </w:rPr>
        <w:t>柏努利方程计算</w:t>
      </w:r>
      <w:r>
        <w:rPr>
          <w:color w:val="auto"/>
          <w:sz w:val="28"/>
          <w:szCs w:val="28"/>
        </w:rPr>
        <w:t>。</w:t>
      </w:r>
    </w:p>
    <w:p>
      <w:pPr>
        <w:snapToGrid w:val="0"/>
        <w:rPr>
          <w:rFonts w:hint="eastAsia" w:ascii="宋体" w:hAnsi="宋体"/>
          <w:b/>
          <w:color w:val="auto"/>
          <w:sz w:val="28"/>
          <w:szCs w:val="28"/>
        </w:rPr>
      </w:pPr>
      <w:r>
        <w:rPr>
          <w:rFonts w:hint="eastAsia" w:ascii="宋体" w:hAnsi="宋体" w:eastAsia="宋体" w:cs="黑体"/>
          <w:color w:val="auto"/>
          <w:kern w:val="2"/>
          <w:sz w:val="28"/>
          <w:szCs w:val="28"/>
          <w:lang w:val="en-US" w:eastAsia="zh-CN" w:bidi="ar-SA"/>
        </w:rPr>
        <w:pict>
          <v:shape id="Picture 1233" o:spid="_x0000_s1107" o:spt="75" type="#_x0000_t75" style="position:absolute;left:0pt;margin-left:111.35pt;margin-top:0.75pt;height:37pt;width:208.3pt;z-index:251740160;mso-width-relative:page;mso-height-relative:page;" o:ole="t" fillcolor="#FFFFFF" filled="f" o:preferrelative="t" stroked="f" coordsize="21600,21600">
            <v:path/>
            <v:fill on="f" color2="#FFFFFF" focussize="0,0"/>
            <v:stroke on="f"/>
            <v:imagedata r:id="rId19" gain="65536f" blacklevel="0f" gamma="0" o:title=""/>
            <o:lock v:ext="edit" position="f" selection="f" grouping="f" rotation="f" cropping="f" text="f" aspectratio="t"/>
          </v:shape>
          <o:OLEObject Type="Embed" ProgID="Equation.3" ShapeID="Picture 1233" DrawAspect="Content" ObjectID="_1468075725" r:id="rId18">
            <o:LockedField>false</o:LockedField>
          </o:OLEObject>
        </w:pict>
      </w:r>
    </w:p>
    <w:p>
      <w:pPr>
        <w:ind w:firstLine="480"/>
        <w:rPr>
          <w:rFonts w:hint="eastAsia"/>
          <w:color w:val="auto"/>
        </w:rPr>
      </w:pPr>
    </w:p>
    <w:p>
      <w:pPr>
        <w:snapToGrid w:val="0"/>
        <w:ind w:firstLine="573"/>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取值及泄漏量结果见表4.</w:t>
      </w:r>
      <w:r>
        <w:rPr>
          <w:rFonts w:hint="default"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rPr>
        <w:t>-1。</w:t>
      </w:r>
    </w:p>
    <w:p>
      <w:pPr>
        <w:pStyle w:val="19"/>
        <w:spacing w:after="0" w:line="240" w:lineRule="auto"/>
        <w:ind w:left="-29"/>
        <w:jc w:val="center"/>
        <w:rPr>
          <w:rFonts w:hint="default" w:ascii="Times New Roman" w:hAnsi="Times New Roman" w:eastAsia="仿宋" w:cs="Times New Roman"/>
          <w:b/>
          <w:color w:val="auto"/>
          <w:sz w:val="24"/>
        </w:rPr>
      </w:pPr>
    </w:p>
    <w:p>
      <w:pPr>
        <w:pStyle w:val="19"/>
        <w:spacing w:after="0" w:line="240" w:lineRule="auto"/>
        <w:ind w:left="-29"/>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表4.</w:t>
      </w:r>
      <w:r>
        <w:rPr>
          <w:rFonts w:hint="default" w:ascii="Times New Roman" w:hAnsi="Times New Roman" w:eastAsia="仿宋" w:cs="Times New Roman"/>
          <w:b/>
          <w:color w:val="auto"/>
          <w:sz w:val="24"/>
          <w:lang w:val="en-US" w:eastAsia="zh-CN"/>
        </w:rPr>
        <w:t>2</w:t>
      </w:r>
      <w:r>
        <w:rPr>
          <w:rFonts w:hint="default" w:ascii="Times New Roman" w:hAnsi="Times New Roman" w:eastAsia="仿宋" w:cs="Times New Roman"/>
          <w:b/>
          <w:color w:val="auto"/>
          <w:sz w:val="24"/>
        </w:rPr>
        <w:t>-1  液体泄漏量计算参数</w:t>
      </w:r>
    </w:p>
    <w:tbl>
      <w:tblPr>
        <w:tblStyle w:val="21"/>
        <w:tblW w:w="837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20"/>
        <w:gridCol w:w="2714"/>
        <w:gridCol w:w="2594"/>
        <w:gridCol w:w="165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20" w:type="dxa"/>
            <w:vAlign w:val="center"/>
          </w:tcPr>
          <w:p>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符号</w:t>
            </w:r>
          </w:p>
        </w:tc>
        <w:tc>
          <w:tcPr>
            <w:tcW w:w="2714" w:type="dxa"/>
            <w:vAlign w:val="center"/>
          </w:tcPr>
          <w:p>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含义</w:t>
            </w:r>
          </w:p>
        </w:tc>
        <w:tc>
          <w:tcPr>
            <w:tcW w:w="2594" w:type="dxa"/>
            <w:vAlign w:val="center"/>
          </w:tcPr>
          <w:p>
            <w:pPr>
              <w:pStyle w:val="37"/>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单位</w:t>
            </w:r>
          </w:p>
        </w:tc>
        <w:tc>
          <w:tcPr>
            <w:tcW w:w="1651" w:type="dxa"/>
            <w:vAlign w:val="center"/>
          </w:tcPr>
          <w:p>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丙烯酸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420"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C</w:t>
            </w:r>
            <w:r>
              <w:rPr>
                <w:rFonts w:hint="default" w:ascii="Times New Roman" w:hAnsi="Times New Roman" w:eastAsia="仿宋" w:cs="Times New Roman"/>
                <w:bCs/>
                <w:color w:val="auto"/>
                <w:sz w:val="21"/>
                <w:szCs w:val="21"/>
                <w:vertAlign w:val="subscript"/>
              </w:rPr>
              <w:t>d</w:t>
            </w:r>
          </w:p>
        </w:tc>
        <w:tc>
          <w:tcPr>
            <w:tcW w:w="271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液体泄漏系数</w:t>
            </w:r>
          </w:p>
        </w:tc>
        <w:tc>
          <w:tcPr>
            <w:tcW w:w="259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无量纲</w:t>
            </w:r>
          </w:p>
        </w:tc>
        <w:tc>
          <w:tcPr>
            <w:tcW w:w="16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0.62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420"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A</w:t>
            </w:r>
          </w:p>
        </w:tc>
        <w:tc>
          <w:tcPr>
            <w:tcW w:w="271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裂口面积</w:t>
            </w:r>
          </w:p>
        </w:tc>
        <w:tc>
          <w:tcPr>
            <w:tcW w:w="259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m</w:t>
            </w:r>
            <w:r>
              <w:rPr>
                <w:rFonts w:hint="default" w:ascii="Times New Roman" w:hAnsi="Times New Roman" w:eastAsia="仿宋" w:cs="Times New Roman"/>
                <w:bCs/>
                <w:color w:val="auto"/>
                <w:sz w:val="21"/>
                <w:szCs w:val="21"/>
                <w:vertAlign w:val="superscript"/>
              </w:rPr>
              <w:t>2</w:t>
            </w:r>
          </w:p>
        </w:tc>
        <w:tc>
          <w:tcPr>
            <w:tcW w:w="16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0.000025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420"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ρ</w:t>
            </w:r>
          </w:p>
        </w:tc>
        <w:tc>
          <w:tcPr>
            <w:tcW w:w="271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泄漏液体密度</w:t>
            </w:r>
          </w:p>
        </w:tc>
        <w:tc>
          <w:tcPr>
            <w:tcW w:w="259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kg/m</w:t>
            </w:r>
            <w:r>
              <w:rPr>
                <w:rFonts w:hint="default" w:ascii="Times New Roman" w:hAnsi="Times New Roman" w:eastAsia="仿宋" w:cs="Times New Roman"/>
                <w:bCs/>
                <w:color w:val="auto"/>
                <w:sz w:val="21"/>
                <w:szCs w:val="21"/>
                <w:vertAlign w:val="superscript"/>
              </w:rPr>
              <w:t>3</w:t>
            </w:r>
          </w:p>
        </w:tc>
        <w:tc>
          <w:tcPr>
            <w:tcW w:w="1651" w:type="dxa"/>
            <w:vAlign w:val="center"/>
          </w:tcPr>
          <w:p>
            <w:pPr>
              <w:pStyle w:val="38"/>
              <w:spacing w:line="240" w:lineRule="auto"/>
              <w:rPr>
                <w:rFonts w:hint="default" w:ascii="Times New Roman" w:hAnsi="Times New Roman" w:eastAsia="仿宋" w:cs="Times New Roman"/>
                <w:bCs/>
                <w:color w:val="auto"/>
                <w:kern w:val="2"/>
                <w:szCs w:val="21"/>
              </w:rPr>
            </w:pPr>
            <w:r>
              <w:rPr>
                <w:rFonts w:hint="default" w:ascii="Times New Roman" w:hAnsi="Times New Roman" w:eastAsia="仿宋" w:cs="Times New Roman"/>
                <w:color w:val="auto"/>
                <w:szCs w:val="21"/>
              </w:rPr>
              <w:t>1050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420"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P</w:t>
            </w:r>
          </w:p>
        </w:tc>
        <w:tc>
          <w:tcPr>
            <w:tcW w:w="271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容器内介质压力</w:t>
            </w:r>
          </w:p>
        </w:tc>
        <w:tc>
          <w:tcPr>
            <w:tcW w:w="259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Pa</w:t>
            </w:r>
          </w:p>
        </w:tc>
        <w:tc>
          <w:tcPr>
            <w:tcW w:w="1651"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常压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420"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P</w:t>
            </w:r>
            <w:r>
              <w:rPr>
                <w:rFonts w:hint="default" w:ascii="Times New Roman" w:hAnsi="Times New Roman" w:eastAsia="仿宋" w:cs="Times New Roman"/>
                <w:bCs/>
                <w:color w:val="auto"/>
                <w:sz w:val="21"/>
                <w:szCs w:val="21"/>
                <w:vertAlign w:val="subscript"/>
              </w:rPr>
              <w:t>0</w:t>
            </w:r>
          </w:p>
        </w:tc>
        <w:tc>
          <w:tcPr>
            <w:tcW w:w="271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环境压力</w:t>
            </w:r>
          </w:p>
        </w:tc>
        <w:tc>
          <w:tcPr>
            <w:tcW w:w="259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Pa</w:t>
            </w:r>
          </w:p>
        </w:tc>
        <w:tc>
          <w:tcPr>
            <w:tcW w:w="1651"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常压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420"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G</w:t>
            </w:r>
          </w:p>
        </w:tc>
        <w:tc>
          <w:tcPr>
            <w:tcW w:w="271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重力加速度</w:t>
            </w:r>
          </w:p>
        </w:tc>
        <w:tc>
          <w:tcPr>
            <w:tcW w:w="259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m/s</w:t>
            </w:r>
            <w:r>
              <w:rPr>
                <w:rFonts w:hint="default" w:ascii="Times New Roman" w:hAnsi="Times New Roman" w:eastAsia="仿宋" w:cs="Times New Roman"/>
                <w:bCs/>
                <w:color w:val="auto"/>
                <w:sz w:val="21"/>
                <w:szCs w:val="21"/>
                <w:vertAlign w:val="superscript"/>
              </w:rPr>
              <w:t>2</w:t>
            </w:r>
          </w:p>
        </w:tc>
        <w:tc>
          <w:tcPr>
            <w:tcW w:w="1651"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420"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h</w:t>
            </w:r>
          </w:p>
        </w:tc>
        <w:tc>
          <w:tcPr>
            <w:tcW w:w="271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裂口之上液位高度</w:t>
            </w:r>
          </w:p>
        </w:tc>
        <w:tc>
          <w:tcPr>
            <w:tcW w:w="259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m</w:t>
            </w:r>
          </w:p>
        </w:tc>
        <w:tc>
          <w:tcPr>
            <w:tcW w:w="1651"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420"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Q</w:t>
            </w:r>
            <w:r>
              <w:rPr>
                <w:rFonts w:hint="default" w:ascii="Times New Roman" w:hAnsi="Times New Roman" w:eastAsia="仿宋" w:cs="Times New Roman"/>
                <w:bCs/>
                <w:color w:val="auto"/>
                <w:sz w:val="21"/>
                <w:szCs w:val="21"/>
                <w:vertAlign w:val="subscript"/>
              </w:rPr>
              <w:t>L</w:t>
            </w:r>
          </w:p>
        </w:tc>
        <w:tc>
          <w:tcPr>
            <w:tcW w:w="271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液体泄漏速度</w:t>
            </w:r>
          </w:p>
        </w:tc>
        <w:tc>
          <w:tcPr>
            <w:tcW w:w="259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kg/s</w:t>
            </w:r>
          </w:p>
        </w:tc>
        <w:tc>
          <w:tcPr>
            <w:tcW w:w="1651"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0.102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420"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T</w:t>
            </w:r>
          </w:p>
        </w:tc>
        <w:tc>
          <w:tcPr>
            <w:tcW w:w="271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泄漏时间</w:t>
            </w:r>
          </w:p>
        </w:tc>
        <w:tc>
          <w:tcPr>
            <w:tcW w:w="259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s</w:t>
            </w:r>
          </w:p>
        </w:tc>
        <w:tc>
          <w:tcPr>
            <w:tcW w:w="1651"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600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420" w:type="dxa"/>
            <w:vAlign w:val="center"/>
          </w:tcPr>
          <w:p>
            <w:pPr>
              <w:jc w:val="center"/>
              <w:rPr>
                <w:rFonts w:hint="default" w:ascii="Times New Roman" w:hAnsi="Times New Roman" w:eastAsia="仿宋" w:cs="Times New Roman"/>
                <w:bCs/>
                <w:color w:val="auto"/>
                <w:sz w:val="21"/>
                <w:szCs w:val="21"/>
              </w:rPr>
            </w:pPr>
          </w:p>
        </w:tc>
        <w:tc>
          <w:tcPr>
            <w:tcW w:w="271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泄漏量</w:t>
            </w:r>
          </w:p>
        </w:tc>
        <w:tc>
          <w:tcPr>
            <w:tcW w:w="2594"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t</w:t>
            </w:r>
          </w:p>
        </w:tc>
        <w:tc>
          <w:tcPr>
            <w:tcW w:w="1651"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0.061</w:t>
            </w:r>
          </w:p>
        </w:tc>
      </w:tr>
    </w:tbl>
    <w:p>
      <w:pPr>
        <w:pStyle w:val="6"/>
        <w:keepNext/>
        <w:keepLines/>
        <w:widowControl w:val="0"/>
        <w:wordWrap/>
        <w:adjustRightInd w:val="0"/>
        <w:snapToGrid w:val="0"/>
        <w:spacing w:beforeLines="50" w:beforeAutospacing="0" w:after="0" w:line="360" w:lineRule="auto"/>
        <w:ind w:left="0"/>
        <w:jc w:val="both"/>
        <w:textAlignment w:val="auto"/>
        <w:outlineLvl w:val="2"/>
        <w:rPr>
          <w:rFonts w:hint="default" w:ascii="Times New Roman" w:hAnsi="Times New Roman" w:eastAsia="仿宋" w:cs="Times New Roman"/>
          <w:b/>
          <w:color w:val="auto"/>
          <w:sz w:val="28"/>
          <w:szCs w:val="28"/>
          <w:lang w:val="en-US" w:eastAsia="zh-CN"/>
        </w:rPr>
      </w:pPr>
      <w:bookmarkStart w:id="76" w:name="_Toc274"/>
      <w:r>
        <w:rPr>
          <w:rFonts w:hint="eastAsia" w:ascii="Times New Roman" w:hAnsi="Times New Roman" w:eastAsia="仿宋" w:cs="Times New Roman"/>
          <w:b/>
          <w:color w:val="auto"/>
          <w:sz w:val="28"/>
          <w:szCs w:val="28"/>
          <w:lang w:val="en-US" w:eastAsia="zh-CN"/>
        </w:rPr>
        <w:t>4.2.3</w:t>
      </w:r>
      <w:r>
        <w:rPr>
          <w:rFonts w:hint="default" w:ascii="Times New Roman" w:hAnsi="Times New Roman" w:eastAsia="仿宋" w:cs="Times New Roman"/>
          <w:b/>
          <w:color w:val="auto"/>
          <w:sz w:val="28"/>
          <w:szCs w:val="28"/>
          <w:lang w:val="en-US" w:eastAsia="zh-CN"/>
        </w:rPr>
        <w:t>废气超标排放事故源强分析</w:t>
      </w:r>
      <w:bookmarkEnd w:id="76"/>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企业生产过程中出现最极端非正常工况是废气净化系统出现故障，导致工艺废气不能通过废气处理系统，直接排入大气，造成环境污染。故障出现后，及时停止生产即可消除污染，不会造成严重影响。</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zh-CN" w:eastAsia="zh-CN"/>
        </w:rPr>
        <w:t>生产车间废气处理设施出现事故，废气未经处理直接排放；排放时间 10min，排放源强见表</w:t>
      </w:r>
      <w:r>
        <w:rPr>
          <w:rFonts w:hint="default" w:ascii="Times New Roman" w:hAnsi="Times New Roman" w:eastAsia="仿宋" w:cs="Times New Roman"/>
          <w:color w:val="auto"/>
          <w:sz w:val="28"/>
          <w:szCs w:val="28"/>
          <w:lang w:val="en-US" w:eastAsia="zh-CN"/>
        </w:rPr>
        <w:t>4.2-</w:t>
      </w:r>
      <w:r>
        <w:rPr>
          <w:rFonts w:hint="eastAsia" w:ascii="Times New Roman" w:hAnsi="Times New Roman" w:eastAsia="仿宋" w:cs="Times New Roman"/>
          <w:color w:val="auto"/>
          <w:sz w:val="28"/>
          <w:szCs w:val="28"/>
          <w:lang w:val="en-US" w:eastAsia="zh-CN"/>
        </w:rPr>
        <w:t>2。</w:t>
      </w:r>
    </w:p>
    <w:p>
      <w:pPr>
        <w:widowControl w:val="0"/>
        <w:tabs>
          <w:tab w:val="left" w:pos="883"/>
        </w:tabs>
        <w:wordWrap/>
        <w:adjustRightInd/>
        <w:snapToGrid/>
        <w:spacing w:line="360" w:lineRule="auto"/>
        <w:ind w:firstLine="560" w:firstLineChars="200"/>
        <w:jc w:val="center"/>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表4.2-2废气处理设施故障排放</w:t>
      </w:r>
    </w:p>
    <w:tbl>
      <w:tblPr>
        <w:tblStyle w:val="21"/>
        <w:tblW w:w="8775"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949"/>
        <w:gridCol w:w="1089"/>
        <w:gridCol w:w="814"/>
        <w:gridCol w:w="1404"/>
        <w:gridCol w:w="973"/>
        <w:gridCol w:w="1053"/>
        <w:gridCol w:w="641"/>
        <w:gridCol w:w="582"/>
        <w:gridCol w:w="634"/>
        <w:gridCol w:w="636"/>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1" w:hRule="exact"/>
        </w:trPr>
        <w:tc>
          <w:tcPr>
            <w:tcW w:w="949" w:type="dxa"/>
            <w:vMerge w:val="restart"/>
            <w:tcBorders>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pacing w:val="2"/>
                <w:w w:val="100"/>
                <w:sz w:val="21"/>
                <w:szCs w:val="21"/>
              </w:rPr>
              <w:t>污</w:t>
            </w:r>
            <w:r>
              <w:rPr>
                <w:rFonts w:hint="default" w:ascii="Times New Roman" w:hAnsi="Times New Roman" w:eastAsia="仿宋" w:cs="Times New Roman"/>
                <w:b/>
                <w:bCs/>
                <w:color w:val="auto"/>
                <w:spacing w:val="0"/>
                <w:w w:val="100"/>
                <w:sz w:val="21"/>
                <w:szCs w:val="21"/>
              </w:rPr>
              <w:t>染源</w:t>
            </w:r>
          </w:p>
        </w:tc>
        <w:tc>
          <w:tcPr>
            <w:tcW w:w="1089" w:type="dxa"/>
            <w:vMerge w:val="restart"/>
            <w:tcBorders>
              <w:left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pacing w:val="0"/>
                <w:w w:val="100"/>
                <w:sz w:val="21"/>
                <w:szCs w:val="21"/>
              </w:rPr>
            </w:pPr>
            <w:r>
              <w:rPr>
                <w:rFonts w:hint="default" w:ascii="Times New Roman" w:hAnsi="Times New Roman" w:eastAsia="仿宋" w:cs="Times New Roman"/>
                <w:b/>
                <w:bCs/>
                <w:color w:val="auto"/>
                <w:spacing w:val="2"/>
                <w:w w:val="100"/>
                <w:sz w:val="21"/>
                <w:szCs w:val="21"/>
              </w:rPr>
              <w:t>污</w:t>
            </w:r>
            <w:r>
              <w:rPr>
                <w:rFonts w:hint="default" w:ascii="Times New Roman" w:hAnsi="Times New Roman" w:eastAsia="仿宋" w:cs="Times New Roman"/>
                <w:b/>
                <w:bCs/>
                <w:color w:val="auto"/>
                <w:spacing w:val="0"/>
                <w:w w:val="100"/>
                <w:sz w:val="21"/>
                <w:szCs w:val="21"/>
              </w:rPr>
              <w:t>染物</w:t>
            </w:r>
          </w:p>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pacing w:val="0"/>
                <w:w w:val="100"/>
                <w:sz w:val="21"/>
                <w:szCs w:val="21"/>
              </w:rPr>
              <w:t>名称</w:t>
            </w:r>
          </w:p>
        </w:tc>
        <w:tc>
          <w:tcPr>
            <w:tcW w:w="814" w:type="dxa"/>
            <w:vMerge w:val="restart"/>
            <w:tcBorders>
              <w:left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pacing w:val="2"/>
                <w:w w:val="100"/>
                <w:sz w:val="21"/>
                <w:szCs w:val="21"/>
              </w:rPr>
              <w:t>排</w:t>
            </w:r>
            <w:r>
              <w:rPr>
                <w:rFonts w:hint="default" w:ascii="Times New Roman" w:hAnsi="Times New Roman" w:eastAsia="仿宋" w:cs="Times New Roman"/>
                <w:b/>
                <w:bCs/>
                <w:color w:val="auto"/>
                <w:spacing w:val="0"/>
                <w:w w:val="100"/>
                <w:sz w:val="21"/>
                <w:szCs w:val="21"/>
              </w:rPr>
              <w:t>气量</w:t>
            </w:r>
          </w:p>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pacing w:val="4"/>
                <w:w w:val="100"/>
                <w:sz w:val="21"/>
                <w:szCs w:val="21"/>
              </w:rPr>
              <w:t>（</w:t>
            </w:r>
            <w:r>
              <w:rPr>
                <w:rFonts w:hint="default" w:ascii="Times New Roman" w:hAnsi="Times New Roman" w:eastAsia="仿宋" w:cs="Times New Roman"/>
                <w:b/>
                <w:bCs/>
                <w:color w:val="auto"/>
                <w:spacing w:val="-6"/>
                <w:w w:val="100"/>
                <w:sz w:val="21"/>
                <w:szCs w:val="21"/>
              </w:rPr>
              <w:t>m</w:t>
            </w:r>
            <w:r>
              <w:rPr>
                <w:rFonts w:hint="default" w:ascii="Times New Roman" w:hAnsi="Times New Roman" w:eastAsia="仿宋" w:cs="Times New Roman"/>
                <w:b/>
                <w:bCs/>
                <w:color w:val="auto"/>
                <w:spacing w:val="-6"/>
                <w:w w:val="100"/>
                <w:sz w:val="21"/>
                <w:szCs w:val="21"/>
                <w:vertAlign w:val="superscript"/>
                <w:lang w:val="en-US" w:eastAsia="zh-CN"/>
              </w:rPr>
              <w:t>3</w:t>
            </w:r>
            <w:r>
              <w:rPr>
                <w:rFonts w:hint="default" w:ascii="Times New Roman" w:hAnsi="Times New Roman" w:eastAsia="仿宋" w:cs="Times New Roman"/>
                <w:b/>
                <w:bCs/>
                <w:color w:val="auto"/>
                <w:spacing w:val="0"/>
                <w:w w:val="100"/>
                <w:position w:val="0"/>
                <w:sz w:val="21"/>
                <w:szCs w:val="21"/>
              </w:rPr>
              <w:t>/</w:t>
            </w:r>
            <w:r>
              <w:rPr>
                <w:rFonts w:hint="default" w:ascii="Times New Roman" w:hAnsi="Times New Roman" w:eastAsia="仿宋" w:cs="Times New Roman"/>
                <w:b/>
                <w:bCs/>
                <w:color w:val="auto"/>
                <w:spacing w:val="-2"/>
                <w:w w:val="100"/>
                <w:position w:val="0"/>
                <w:sz w:val="21"/>
                <w:szCs w:val="21"/>
              </w:rPr>
              <w:t>h</w:t>
            </w:r>
            <w:r>
              <w:rPr>
                <w:rFonts w:hint="default" w:ascii="Times New Roman" w:hAnsi="Times New Roman" w:eastAsia="仿宋" w:cs="Times New Roman"/>
                <w:b/>
                <w:bCs/>
                <w:color w:val="auto"/>
                <w:spacing w:val="0"/>
                <w:w w:val="100"/>
                <w:position w:val="0"/>
                <w:sz w:val="21"/>
                <w:szCs w:val="21"/>
              </w:rPr>
              <w:t>）</w:t>
            </w:r>
          </w:p>
        </w:tc>
        <w:tc>
          <w:tcPr>
            <w:tcW w:w="1404" w:type="dxa"/>
            <w:vMerge w:val="restart"/>
            <w:tcBorders>
              <w:left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pacing w:val="2"/>
                <w:w w:val="100"/>
                <w:sz w:val="21"/>
                <w:szCs w:val="21"/>
              </w:rPr>
              <w:t>非</w:t>
            </w:r>
            <w:r>
              <w:rPr>
                <w:rFonts w:hint="default" w:ascii="Times New Roman" w:hAnsi="Times New Roman" w:eastAsia="仿宋" w:cs="Times New Roman"/>
                <w:b/>
                <w:bCs/>
                <w:color w:val="auto"/>
                <w:spacing w:val="0"/>
                <w:w w:val="100"/>
                <w:sz w:val="21"/>
                <w:szCs w:val="21"/>
              </w:rPr>
              <w:t>正常部位</w:t>
            </w:r>
          </w:p>
        </w:tc>
        <w:tc>
          <w:tcPr>
            <w:tcW w:w="2026" w:type="dxa"/>
            <w:gridSpan w:val="2"/>
            <w:tcBorders>
              <w:left w:val="single" w:color="000000" w:sz="4" w:space="0"/>
              <w:bottom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pacing w:val="2"/>
                <w:w w:val="100"/>
                <w:sz w:val="21"/>
                <w:szCs w:val="21"/>
              </w:rPr>
              <w:t>产</w:t>
            </w:r>
            <w:r>
              <w:rPr>
                <w:rFonts w:hint="default" w:ascii="Times New Roman" w:hAnsi="Times New Roman" w:eastAsia="仿宋" w:cs="Times New Roman"/>
                <w:b/>
                <w:bCs/>
                <w:color w:val="auto"/>
                <w:spacing w:val="0"/>
                <w:w w:val="100"/>
                <w:sz w:val="21"/>
                <w:szCs w:val="21"/>
              </w:rPr>
              <w:t>生状况</w:t>
            </w:r>
          </w:p>
        </w:tc>
        <w:tc>
          <w:tcPr>
            <w:tcW w:w="1857" w:type="dxa"/>
            <w:gridSpan w:val="3"/>
            <w:tcBorders>
              <w:left w:val="single" w:color="000000" w:sz="4" w:space="0"/>
              <w:bottom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pacing w:val="2"/>
                <w:w w:val="100"/>
                <w:sz w:val="21"/>
                <w:szCs w:val="21"/>
              </w:rPr>
              <w:t>排</w:t>
            </w:r>
            <w:r>
              <w:rPr>
                <w:rFonts w:hint="default" w:ascii="Times New Roman" w:hAnsi="Times New Roman" w:eastAsia="仿宋" w:cs="Times New Roman"/>
                <w:b/>
                <w:bCs/>
                <w:color w:val="auto"/>
                <w:spacing w:val="0"/>
                <w:w w:val="100"/>
                <w:sz w:val="21"/>
                <w:szCs w:val="21"/>
              </w:rPr>
              <w:t>放源参数</w:t>
            </w:r>
          </w:p>
        </w:tc>
        <w:tc>
          <w:tcPr>
            <w:tcW w:w="636" w:type="dxa"/>
            <w:vMerge w:val="restart"/>
            <w:tcBorders>
              <w:lef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pacing w:val="0"/>
                <w:w w:val="100"/>
                <w:sz w:val="21"/>
                <w:szCs w:val="21"/>
                <w:lang w:eastAsia="zh-CN"/>
              </w:rPr>
              <w:t>持续时间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737" w:hRule="exact"/>
        </w:trPr>
        <w:tc>
          <w:tcPr>
            <w:tcW w:w="949" w:type="dxa"/>
            <w:vMerge w:val="continue"/>
            <w:tcBorders>
              <w:bottom w:val="single" w:color="000000" w:sz="4" w:space="0"/>
              <w:righ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b/>
                <w:bCs/>
                <w:color w:val="auto"/>
                <w:sz w:val="21"/>
                <w:szCs w:val="21"/>
              </w:rPr>
            </w:pPr>
          </w:p>
        </w:tc>
        <w:tc>
          <w:tcPr>
            <w:tcW w:w="1089" w:type="dxa"/>
            <w:vMerge w:val="continue"/>
            <w:tcBorders>
              <w:left w:val="single" w:color="000000" w:sz="4" w:space="0"/>
              <w:bottom w:val="single" w:color="000000" w:sz="4" w:space="0"/>
              <w:righ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b/>
                <w:bCs/>
                <w:color w:val="auto"/>
                <w:sz w:val="21"/>
                <w:szCs w:val="21"/>
              </w:rPr>
            </w:pPr>
          </w:p>
        </w:tc>
        <w:tc>
          <w:tcPr>
            <w:tcW w:w="814" w:type="dxa"/>
            <w:vMerge w:val="continue"/>
            <w:tcBorders>
              <w:left w:val="single" w:color="000000" w:sz="4" w:space="0"/>
              <w:bottom w:val="single" w:color="000000" w:sz="4" w:space="0"/>
              <w:righ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b/>
                <w:bCs/>
                <w:color w:val="auto"/>
                <w:sz w:val="21"/>
                <w:szCs w:val="21"/>
              </w:rPr>
            </w:pPr>
          </w:p>
        </w:tc>
        <w:tc>
          <w:tcPr>
            <w:tcW w:w="1404" w:type="dxa"/>
            <w:vMerge w:val="continue"/>
            <w:tcBorders>
              <w:left w:val="single" w:color="000000" w:sz="4" w:space="0"/>
              <w:bottom w:val="single" w:color="000000" w:sz="4" w:space="0"/>
              <w:righ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b/>
                <w:bCs/>
                <w:color w:val="auto"/>
                <w:sz w:val="21"/>
                <w:szCs w:val="21"/>
              </w:rPr>
            </w:pPr>
          </w:p>
        </w:tc>
        <w:tc>
          <w:tcPr>
            <w:tcW w:w="973" w:type="dxa"/>
            <w:tcBorders>
              <w:top w:val="single" w:color="000000" w:sz="4" w:space="0"/>
              <w:left w:val="single" w:color="000000" w:sz="4" w:space="0"/>
              <w:bottom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pacing w:val="0"/>
                <w:w w:val="100"/>
                <w:sz w:val="21"/>
                <w:szCs w:val="21"/>
              </w:rPr>
            </w:pPr>
            <w:r>
              <w:rPr>
                <w:rFonts w:hint="default" w:ascii="Times New Roman" w:hAnsi="Times New Roman" w:eastAsia="仿宋" w:cs="Times New Roman"/>
                <w:b/>
                <w:bCs/>
                <w:color w:val="auto"/>
                <w:spacing w:val="2"/>
                <w:w w:val="100"/>
                <w:sz w:val="21"/>
                <w:szCs w:val="21"/>
              </w:rPr>
              <w:t>浓</w:t>
            </w:r>
            <w:r>
              <w:rPr>
                <w:rFonts w:hint="default" w:ascii="Times New Roman" w:hAnsi="Times New Roman" w:eastAsia="仿宋" w:cs="Times New Roman"/>
                <w:b/>
                <w:bCs/>
                <w:color w:val="auto"/>
                <w:spacing w:val="0"/>
                <w:w w:val="100"/>
                <w:sz w:val="21"/>
                <w:szCs w:val="21"/>
              </w:rPr>
              <w:t>度</w:t>
            </w:r>
          </w:p>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pacing w:val="2"/>
                <w:w w:val="100"/>
                <w:sz w:val="21"/>
                <w:szCs w:val="21"/>
              </w:rPr>
              <w:t>（</w:t>
            </w:r>
            <w:r>
              <w:rPr>
                <w:rFonts w:hint="default" w:ascii="Times New Roman" w:hAnsi="Times New Roman" w:eastAsia="仿宋" w:cs="Times New Roman"/>
                <w:b/>
                <w:bCs/>
                <w:color w:val="auto"/>
                <w:spacing w:val="-6"/>
                <w:w w:val="100"/>
                <w:sz w:val="21"/>
                <w:szCs w:val="21"/>
              </w:rPr>
              <w:t>m</w:t>
            </w:r>
            <w:r>
              <w:rPr>
                <w:rFonts w:hint="default" w:ascii="Times New Roman" w:hAnsi="Times New Roman" w:eastAsia="仿宋" w:cs="Times New Roman"/>
                <w:b/>
                <w:bCs/>
                <w:color w:val="auto"/>
                <w:spacing w:val="1"/>
                <w:w w:val="100"/>
                <w:sz w:val="21"/>
                <w:szCs w:val="21"/>
              </w:rPr>
              <w:t>g</w:t>
            </w:r>
            <w:r>
              <w:rPr>
                <w:rFonts w:hint="default" w:ascii="Times New Roman" w:hAnsi="Times New Roman" w:eastAsia="仿宋" w:cs="Times New Roman"/>
                <w:b/>
                <w:bCs/>
                <w:color w:val="auto"/>
                <w:spacing w:val="2"/>
                <w:w w:val="100"/>
                <w:sz w:val="21"/>
                <w:szCs w:val="21"/>
              </w:rPr>
              <w:t>/</w:t>
            </w:r>
            <w:r>
              <w:rPr>
                <w:rFonts w:hint="default" w:ascii="Times New Roman" w:hAnsi="Times New Roman" w:eastAsia="仿宋" w:cs="Times New Roman"/>
                <w:b/>
                <w:bCs/>
                <w:color w:val="auto"/>
                <w:spacing w:val="-4"/>
                <w:w w:val="100"/>
                <w:sz w:val="21"/>
                <w:szCs w:val="21"/>
              </w:rPr>
              <w:t>m</w:t>
            </w:r>
            <w:r>
              <w:rPr>
                <w:rFonts w:hint="default" w:ascii="Times New Roman" w:hAnsi="Times New Roman" w:eastAsia="仿宋" w:cs="Times New Roman"/>
                <w:b/>
                <w:bCs/>
                <w:color w:val="auto"/>
                <w:spacing w:val="-4"/>
                <w:w w:val="100"/>
                <w:sz w:val="21"/>
                <w:szCs w:val="21"/>
                <w:vertAlign w:val="superscript"/>
                <w:lang w:val="en-US" w:eastAsia="zh-CN"/>
              </w:rPr>
              <w:t>3</w:t>
            </w:r>
            <w:r>
              <w:rPr>
                <w:rFonts w:hint="default" w:ascii="Times New Roman" w:hAnsi="Times New Roman" w:eastAsia="仿宋" w:cs="Times New Roman"/>
                <w:b/>
                <w:bCs/>
                <w:color w:val="auto"/>
                <w:spacing w:val="0"/>
                <w:w w:val="100"/>
                <w:position w:val="0"/>
                <w:sz w:val="21"/>
                <w:szCs w:val="21"/>
              </w:rPr>
              <w:t>）</w:t>
            </w:r>
          </w:p>
        </w:tc>
        <w:tc>
          <w:tcPr>
            <w:tcW w:w="1053" w:type="dxa"/>
            <w:tcBorders>
              <w:top w:val="single" w:color="000000" w:sz="4" w:space="0"/>
              <w:left w:val="single" w:color="000000" w:sz="4" w:space="0"/>
              <w:bottom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pacing w:val="0"/>
                <w:w w:val="100"/>
                <w:sz w:val="21"/>
                <w:szCs w:val="21"/>
              </w:rPr>
            </w:pPr>
            <w:r>
              <w:rPr>
                <w:rFonts w:hint="default" w:ascii="Times New Roman" w:hAnsi="Times New Roman" w:eastAsia="仿宋" w:cs="Times New Roman"/>
                <w:b/>
                <w:bCs/>
                <w:color w:val="auto"/>
                <w:spacing w:val="2"/>
                <w:w w:val="100"/>
                <w:sz w:val="21"/>
                <w:szCs w:val="21"/>
              </w:rPr>
              <w:t>速</w:t>
            </w:r>
            <w:r>
              <w:rPr>
                <w:rFonts w:hint="default" w:ascii="Times New Roman" w:hAnsi="Times New Roman" w:eastAsia="仿宋" w:cs="Times New Roman"/>
                <w:b/>
                <w:bCs/>
                <w:color w:val="auto"/>
                <w:spacing w:val="0"/>
                <w:w w:val="100"/>
                <w:sz w:val="21"/>
                <w:szCs w:val="21"/>
              </w:rPr>
              <w:t>率</w:t>
            </w:r>
          </w:p>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pacing w:val="2"/>
                <w:w w:val="100"/>
                <w:sz w:val="21"/>
                <w:szCs w:val="21"/>
              </w:rPr>
              <w:t>（</w:t>
            </w:r>
            <w:r>
              <w:rPr>
                <w:rFonts w:hint="default" w:ascii="Times New Roman" w:hAnsi="Times New Roman" w:eastAsia="仿宋" w:cs="Times New Roman"/>
                <w:b/>
                <w:bCs/>
                <w:color w:val="auto"/>
                <w:spacing w:val="-5"/>
                <w:w w:val="100"/>
                <w:sz w:val="21"/>
                <w:szCs w:val="21"/>
              </w:rPr>
              <w:t>k</w:t>
            </w:r>
            <w:r>
              <w:rPr>
                <w:rFonts w:hint="default" w:ascii="Times New Roman" w:hAnsi="Times New Roman" w:eastAsia="仿宋" w:cs="Times New Roman"/>
                <w:b/>
                <w:bCs/>
                <w:color w:val="auto"/>
                <w:spacing w:val="1"/>
                <w:w w:val="100"/>
                <w:sz w:val="21"/>
                <w:szCs w:val="21"/>
              </w:rPr>
              <w:t>g</w:t>
            </w:r>
            <w:r>
              <w:rPr>
                <w:rFonts w:hint="default" w:ascii="Times New Roman" w:hAnsi="Times New Roman" w:eastAsia="仿宋" w:cs="Times New Roman"/>
                <w:b/>
                <w:bCs/>
                <w:color w:val="auto"/>
                <w:spacing w:val="0"/>
                <w:w w:val="100"/>
                <w:sz w:val="21"/>
                <w:szCs w:val="21"/>
              </w:rPr>
              <w:t>/</w:t>
            </w:r>
            <w:r>
              <w:rPr>
                <w:rFonts w:hint="default" w:ascii="Times New Roman" w:hAnsi="Times New Roman" w:eastAsia="仿宋" w:cs="Times New Roman"/>
                <w:b/>
                <w:bCs/>
                <w:color w:val="auto"/>
                <w:spacing w:val="-1"/>
                <w:w w:val="100"/>
                <w:sz w:val="21"/>
                <w:szCs w:val="21"/>
              </w:rPr>
              <w:t>h</w:t>
            </w:r>
            <w:r>
              <w:rPr>
                <w:rFonts w:hint="default" w:ascii="Times New Roman" w:hAnsi="Times New Roman" w:eastAsia="仿宋" w:cs="Times New Roman"/>
                <w:b/>
                <w:bCs/>
                <w:color w:val="auto"/>
                <w:spacing w:val="0"/>
                <w:w w:val="100"/>
                <w:sz w:val="21"/>
                <w:szCs w:val="21"/>
              </w:rPr>
              <w:t>）</w:t>
            </w:r>
          </w:p>
        </w:tc>
        <w:tc>
          <w:tcPr>
            <w:tcW w:w="641" w:type="dxa"/>
            <w:tcBorders>
              <w:top w:val="single" w:color="000000" w:sz="4" w:space="0"/>
              <w:left w:val="single" w:color="000000" w:sz="4" w:space="0"/>
              <w:bottom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pacing w:val="-1"/>
                <w:w w:val="100"/>
                <w:sz w:val="21"/>
                <w:szCs w:val="21"/>
              </w:rPr>
            </w:pPr>
            <w:r>
              <w:rPr>
                <w:rFonts w:hint="default" w:ascii="Times New Roman" w:hAnsi="Times New Roman" w:eastAsia="仿宋" w:cs="Times New Roman"/>
                <w:b/>
                <w:bCs/>
                <w:color w:val="auto"/>
                <w:spacing w:val="-1"/>
                <w:w w:val="100"/>
                <w:sz w:val="21"/>
                <w:szCs w:val="21"/>
              </w:rPr>
              <w:t>H</w:t>
            </w:r>
          </w:p>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pacing w:val="4"/>
                <w:w w:val="100"/>
                <w:sz w:val="21"/>
                <w:szCs w:val="21"/>
              </w:rPr>
              <w:t>（</w:t>
            </w:r>
            <w:r>
              <w:rPr>
                <w:rFonts w:hint="default" w:ascii="Times New Roman" w:hAnsi="Times New Roman" w:eastAsia="仿宋" w:cs="Times New Roman"/>
                <w:b/>
                <w:bCs/>
                <w:color w:val="auto"/>
                <w:spacing w:val="-6"/>
                <w:w w:val="100"/>
                <w:sz w:val="21"/>
                <w:szCs w:val="21"/>
              </w:rPr>
              <w:t>m</w:t>
            </w:r>
            <w:r>
              <w:rPr>
                <w:rFonts w:hint="default" w:ascii="Times New Roman" w:hAnsi="Times New Roman" w:eastAsia="仿宋" w:cs="Times New Roman"/>
                <w:b/>
                <w:bCs/>
                <w:color w:val="auto"/>
                <w:spacing w:val="0"/>
                <w:w w:val="100"/>
                <w:sz w:val="21"/>
                <w:szCs w:val="21"/>
              </w:rPr>
              <w:t>）</w:t>
            </w:r>
          </w:p>
        </w:tc>
        <w:tc>
          <w:tcPr>
            <w:tcW w:w="582" w:type="dxa"/>
            <w:tcBorders>
              <w:top w:val="single" w:color="000000" w:sz="4" w:space="0"/>
              <w:left w:val="single" w:color="000000" w:sz="4" w:space="0"/>
              <w:bottom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pacing w:val="-1"/>
                <w:w w:val="100"/>
                <w:sz w:val="21"/>
                <w:szCs w:val="21"/>
              </w:rPr>
            </w:pPr>
            <w:r>
              <w:rPr>
                <w:rFonts w:hint="default" w:ascii="Times New Roman" w:hAnsi="Times New Roman" w:eastAsia="仿宋" w:cs="Times New Roman"/>
                <w:b/>
                <w:bCs/>
                <w:color w:val="auto"/>
                <w:spacing w:val="-1"/>
                <w:w w:val="100"/>
                <w:sz w:val="21"/>
                <w:szCs w:val="21"/>
              </w:rPr>
              <w:t>D</w:t>
            </w:r>
          </w:p>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pacing w:val="4"/>
                <w:w w:val="100"/>
                <w:sz w:val="21"/>
                <w:szCs w:val="21"/>
              </w:rPr>
              <w:t>（</w:t>
            </w:r>
            <w:r>
              <w:rPr>
                <w:rFonts w:hint="default" w:ascii="Times New Roman" w:hAnsi="Times New Roman" w:eastAsia="仿宋" w:cs="Times New Roman"/>
                <w:b/>
                <w:bCs/>
                <w:color w:val="auto"/>
                <w:spacing w:val="-6"/>
                <w:w w:val="100"/>
                <w:sz w:val="21"/>
                <w:szCs w:val="21"/>
              </w:rPr>
              <w:t>m</w:t>
            </w:r>
            <w:r>
              <w:rPr>
                <w:rFonts w:hint="default" w:ascii="Times New Roman" w:hAnsi="Times New Roman" w:eastAsia="仿宋" w:cs="Times New Roman"/>
                <w:b/>
                <w:bCs/>
                <w:color w:val="auto"/>
                <w:spacing w:val="0"/>
                <w:w w:val="100"/>
                <w:sz w:val="21"/>
                <w:szCs w:val="21"/>
              </w:rPr>
              <w:t>）</w:t>
            </w:r>
          </w:p>
        </w:tc>
        <w:tc>
          <w:tcPr>
            <w:tcW w:w="634" w:type="dxa"/>
            <w:tcBorders>
              <w:top w:val="single" w:color="000000" w:sz="4" w:space="0"/>
              <w:left w:val="single" w:color="000000" w:sz="4" w:space="0"/>
              <w:bottom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pacing w:val="-1"/>
                <w:w w:val="100"/>
                <w:sz w:val="21"/>
                <w:szCs w:val="21"/>
              </w:rPr>
              <w:t>T</w:t>
            </w:r>
            <w:r>
              <w:rPr>
                <w:rFonts w:hint="default" w:ascii="Times New Roman" w:hAnsi="Times New Roman" w:eastAsia="仿宋" w:cs="Times New Roman"/>
                <w:b/>
                <w:bCs/>
                <w:color w:val="auto"/>
                <w:spacing w:val="2"/>
                <w:w w:val="100"/>
                <w:sz w:val="21"/>
                <w:szCs w:val="21"/>
              </w:rPr>
              <w:t>（</w:t>
            </w:r>
            <w:r>
              <w:rPr>
                <w:rFonts w:hint="default" w:ascii="Times New Roman" w:hAnsi="Times New Roman" w:eastAsia="仿宋" w:cs="Times New Roman"/>
                <w:b/>
                <w:bCs/>
                <w:color w:val="auto"/>
                <w:spacing w:val="0"/>
                <w:w w:val="100"/>
                <w:sz w:val="21"/>
                <w:szCs w:val="21"/>
              </w:rPr>
              <w:t>℃）</w:t>
            </w:r>
          </w:p>
        </w:tc>
        <w:tc>
          <w:tcPr>
            <w:tcW w:w="636" w:type="dxa"/>
            <w:vMerge w:val="continue"/>
            <w:tcBorders>
              <w:left w:val="single" w:color="000000" w:sz="4" w:space="0"/>
              <w:bottom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0" w:hRule="exact"/>
        </w:trPr>
        <w:tc>
          <w:tcPr>
            <w:tcW w:w="949" w:type="dxa"/>
            <w:vMerge w:val="restart"/>
            <w:tcBorders>
              <w:top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spacing w:val="1"/>
                <w:w w:val="100"/>
                <w:sz w:val="21"/>
                <w:szCs w:val="21"/>
              </w:rPr>
              <w:t>1#</w:t>
            </w:r>
            <w:r>
              <w:rPr>
                <w:rFonts w:hint="default" w:ascii="Times New Roman" w:hAnsi="Times New Roman" w:eastAsia="仿宋" w:cs="Times New Roman"/>
                <w:b w:val="0"/>
                <w:bCs w:val="0"/>
                <w:color w:val="auto"/>
                <w:spacing w:val="0"/>
                <w:w w:val="100"/>
                <w:sz w:val="21"/>
                <w:szCs w:val="21"/>
              </w:rPr>
              <w:t>生产车间废气</w:t>
            </w:r>
            <w:r>
              <w:rPr>
                <w:rFonts w:hint="default" w:ascii="Times New Roman" w:hAnsi="Times New Roman" w:eastAsia="仿宋" w:cs="Times New Roman"/>
                <w:b w:val="0"/>
                <w:bCs w:val="0"/>
                <w:color w:val="auto"/>
                <w:spacing w:val="-3"/>
                <w:w w:val="100"/>
                <w:position w:val="0"/>
                <w:sz w:val="21"/>
                <w:szCs w:val="21"/>
              </w:rPr>
              <w:t>、</w:t>
            </w:r>
            <w:r>
              <w:rPr>
                <w:rFonts w:hint="default" w:ascii="Times New Roman" w:hAnsi="Times New Roman" w:eastAsia="仿宋" w:cs="Times New Roman"/>
                <w:b w:val="0"/>
                <w:bCs w:val="0"/>
                <w:color w:val="auto"/>
                <w:spacing w:val="0"/>
                <w:w w:val="100"/>
                <w:position w:val="0"/>
                <w:sz w:val="21"/>
                <w:szCs w:val="21"/>
              </w:rPr>
              <w:t>罐区废气</w:t>
            </w:r>
          </w:p>
        </w:tc>
        <w:tc>
          <w:tcPr>
            <w:tcW w:w="1089" w:type="dxa"/>
            <w:tcBorders>
              <w:top w:val="single" w:color="000000" w:sz="4" w:space="0"/>
              <w:left w:val="single" w:color="000000" w:sz="4" w:space="0"/>
              <w:bottom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spacing w:val="0"/>
                <w:w w:val="100"/>
                <w:sz w:val="21"/>
                <w:szCs w:val="21"/>
              </w:rPr>
              <w:t>丙烯酸</w:t>
            </w:r>
          </w:p>
        </w:tc>
        <w:tc>
          <w:tcPr>
            <w:tcW w:w="814" w:type="dxa"/>
            <w:vMerge w:val="restart"/>
            <w:tcBorders>
              <w:top w:val="single" w:color="000000" w:sz="4" w:space="0"/>
              <w:left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p>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p>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spacing w:val="1"/>
                <w:w w:val="100"/>
                <w:sz w:val="21"/>
                <w:szCs w:val="21"/>
              </w:rPr>
              <w:t>50</w:t>
            </w:r>
            <w:r>
              <w:rPr>
                <w:rFonts w:hint="default" w:ascii="Times New Roman" w:hAnsi="Times New Roman" w:eastAsia="仿宋" w:cs="Times New Roman"/>
                <w:b w:val="0"/>
                <w:bCs w:val="0"/>
                <w:color w:val="auto"/>
                <w:spacing w:val="-2"/>
                <w:w w:val="100"/>
                <w:sz w:val="21"/>
                <w:szCs w:val="21"/>
              </w:rPr>
              <w:t>0</w:t>
            </w:r>
            <w:r>
              <w:rPr>
                <w:rFonts w:hint="default" w:ascii="Times New Roman" w:hAnsi="Times New Roman" w:eastAsia="仿宋" w:cs="Times New Roman"/>
                <w:b w:val="0"/>
                <w:bCs w:val="0"/>
                <w:color w:val="auto"/>
                <w:spacing w:val="0"/>
                <w:w w:val="100"/>
                <w:sz w:val="21"/>
                <w:szCs w:val="21"/>
              </w:rPr>
              <w:t>0</w:t>
            </w:r>
          </w:p>
        </w:tc>
        <w:tc>
          <w:tcPr>
            <w:tcW w:w="1404" w:type="dxa"/>
            <w:vMerge w:val="restart"/>
            <w:tcBorders>
              <w:top w:val="single" w:color="000000" w:sz="4" w:space="0"/>
              <w:left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spacing w:val="0"/>
                <w:w w:val="100"/>
                <w:sz w:val="21"/>
                <w:szCs w:val="21"/>
              </w:rPr>
              <w:t>一级纯水洗</w:t>
            </w:r>
            <w:r>
              <w:rPr>
                <w:rFonts w:hint="default" w:ascii="Times New Roman" w:hAnsi="Times New Roman" w:eastAsia="仿宋" w:cs="Times New Roman"/>
                <w:b w:val="0"/>
                <w:bCs w:val="0"/>
                <w:color w:val="auto"/>
                <w:spacing w:val="-1"/>
                <w:w w:val="100"/>
                <w:sz w:val="21"/>
                <w:szCs w:val="21"/>
              </w:rPr>
              <w:t>+</w:t>
            </w:r>
            <w:r>
              <w:rPr>
                <w:rFonts w:hint="default" w:ascii="Times New Roman" w:hAnsi="Times New Roman" w:eastAsia="仿宋" w:cs="Times New Roman"/>
                <w:b w:val="0"/>
                <w:bCs w:val="0"/>
                <w:color w:val="auto"/>
                <w:spacing w:val="0"/>
                <w:w w:val="100"/>
                <w:sz w:val="21"/>
                <w:szCs w:val="21"/>
              </w:rPr>
              <w:t>一级碱洗</w:t>
            </w:r>
            <w:r>
              <w:rPr>
                <w:rFonts w:hint="default" w:ascii="Times New Roman" w:hAnsi="Times New Roman" w:eastAsia="仿宋" w:cs="Times New Roman"/>
                <w:b w:val="0"/>
                <w:bCs w:val="0"/>
                <w:color w:val="auto"/>
                <w:spacing w:val="-1"/>
                <w:w w:val="100"/>
                <w:sz w:val="21"/>
                <w:szCs w:val="21"/>
              </w:rPr>
              <w:t>+</w:t>
            </w:r>
            <w:r>
              <w:rPr>
                <w:rFonts w:hint="default" w:ascii="Times New Roman" w:hAnsi="Times New Roman" w:eastAsia="仿宋" w:cs="Times New Roman"/>
                <w:b w:val="0"/>
                <w:bCs w:val="0"/>
                <w:color w:val="auto"/>
                <w:spacing w:val="0"/>
                <w:w w:val="100"/>
                <w:sz w:val="21"/>
                <w:szCs w:val="21"/>
              </w:rPr>
              <w:t>除雾</w:t>
            </w:r>
            <w:r>
              <w:rPr>
                <w:rFonts w:hint="default" w:ascii="Times New Roman" w:hAnsi="Times New Roman" w:eastAsia="仿宋" w:cs="Times New Roman"/>
                <w:b w:val="0"/>
                <w:bCs w:val="0"/>
                <w:color w:val="auto"/>
                <w:spacing w:val="2"/>
                <w:w w:val="100"/>
                <w:sz w:val="21"/>
                <w:szCs w:val="21"/>
              </w:rPr>
              <w:t>干</w:t>
            </w:r>
            <w:r>
              <w:rPr>
                <w:rFonts w:hint="default" w:ascii="Times New Roman" w:hAnsi="Times New Roman" w:eastAsia="仿宋" w:cs="Times New Roman"/>
                <w:b w:val="0"/>
                <w:bCs w:val="0"/>
                <w:color w:val="auto"/>
                <w:spacing w:val="0"/>
                <w:w w:val="100"/>
                <w:sz w:val="21"/>
                <w:szCs w:val="21"/>
              </w:rPr>
              <w:t>燥</w:t>
            </w:r>
            <w:r>
              <w:rPr>
                <w:rFonts w:hint="default" w:ascii="Times New Roman" w:hAnsi="Times New Roman" w:eastAsia="仿宋" w:cs="Times New Roman"/>
                <w:b w:val="0"/>
                <w:bCs w:val="0"/>
                <w:color w:val="auto"/>
                <w:spacing w:val="-1"/>
                <w:w w:val="100"/>
                <w:sz w:val="21"/>
                <w:szCs w:val="21"/>
              </w:rPr>
              <w:t>+</w:t>
            </w:r>
            <w:r>
              <w:rPr>
                <w:rFonts w:hint="default" w:ascii="Times New Roman" w:hAnsi="Times New Roman" w:eastAsia="仿宋" w:cs="Times New Roman"/>
                <w:b w:val="0"/>
                <w:bCs w:val="0"/>
                <w:color w:val="auto"/>
                <w:spacing w:val="0"/>
                <w:w w:val="100"/>
                <w:sz w:val="21"/>
                <w:szCs w:val="21"/>
              </w:rPr>
              <w:t>活性炭吸附装置故障</w:t>
            </w:r>
            <w:r>
              <w:rPr>
                <w:rFonts w:hint="default" w:ascii="Times New Roman" w:hAnsi="Times New Roman" w:eastAsia="仿宋" w:cs="Times New Roman"/>
                <w:b w:val="0"/>
                <w:bCs w:val="0"/>
                <w:color w:val="auto"/>
                <w:spacing w:val="-5"/>
                <w:w w:val="100"/>
                <w:sz w:val="21"/>
                <w:szCs w:val="21"/>
              </w:rPr>
              <w:t>，</w:t>
            </w:r>
            <w:r>
              <w:rPr>
                <w:rFonts w:hint="default" w:ascii="Times New Roman" w:hAnsi="Times New Roman" w:eastAsia="仿宋" w:cs="Times New Roman"/>
                <w:b w:val="0"/>
                <w:bCs w:val="0"/>
                <w:color w:val="auto"/>
                <w:spacing w:val="0"/>
                <w:w w:val="100"/>
                <w:sz w:val="21"/>
                <w:szCs w:val="21"/>
              </w:rPr>
              <w:t>废气未经处理直排</w:t>
            </w:r>
          </w:p>
        </w:tc>
        <w:tc>
          <w:tcPr>
            <w:tcW w:w="973" w:type="dxa"/>
            <w:tcBorders>
              <w:top w:val="single" w:color="000000" w:sz="4" w:space="0"/>
              <w:left w:val="single" w:color="000000" w:sz="4" w:space="0"/>
              <w:bottom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spacing w:val="1"/>
                <w:w w:val="100"/>
                <w:sz w:val="21"/>
                <w:szCs w:val="21"/>
              </w:rPr>
              <w:t>50</w:t>
            </w:r>
          </w:p>
        </w:tc>
        <w:tc>
          <w:tcPr>
            <w:tcW w:w="1053" w:type="dxa"/>
            <w:tcBorders>
              <w:top w:val="single" w:color="000000" w:sz="4" w:space="0"/>
              <w:left w:val="single" w:color="000000" w:sz="4" w:space="0"/>
              <w:bottom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spacing w:val="1"/>
                <w:w w:val="100"/>
                <w:sz w:val="21"/>
                <w:szCs w:val="21"/>
              </w:rPr>
              <w:t>0</w:t>
            </w:r>
            <w:r>
              <w:rPr>
                <w:rFonts w:hint="default" w:ascii="Times New Roman" w:hAnsi="Times New Roman" w:eastAsia="仿宋" w:cs="Times New Roman"/>
                <w:b w:val="0"/>
                <w:bCs w:val="0"/>
                <w:color w:val="auto"/>
                <w:spacing w:val="0"/>
                <w:w w:val="100"/>
                <w:sz w:val="21"/>
                <w:szCs w:val="21"/>
              </w:rPr>
              <w:t>.</w:t>
            </w:r>
            <w:r>
              <w:rPr>
                <w:rFonts w:hint="default" w:ascii="Times New Roman" w:hAnsi="Times New Roman" w:eastAsia="仿宋" w:cs="Times New Roman"/>
                <w:b w:val="0"/>
                <w:bCs w:val="0"/>
                <w:color w:val="auto"/>
                <w:spacing w:val="-2"/>
                <w:w w:val="100"/>
                <w:sz w:val="21"/>
                <w:szCs w:val="21"/>
              </w:rPr>
              <w:t>2</w:t>
            </w:r>
            <w:r>
              <w:rPr>
                <w:rFonts w:hint="default" w:ascii="Times New Roman" w:hAnsi="Times New Roman" w:eastAsia="仿宋" w:cs="Times New Roman"/>
                <w:b w:val="0"/>
                <w:bCs w:val="0"/>
                <w:color w:val="auto"/>
                <w:spacing w:val="0"/>
                <w:w w:val="100"/>
                <w:sz w:val="21"/>
                <w:szCs w:val="21"/>
              </w:rPr>
              <w:t>5</w:t>
            </w:r>
          </w:p>
        </w:tc>
        <w:tc>
          <w:tcPr>
            <w:tcW w:w="641" w:type="dxa"/>
            <w:vMerge w:val="restart"/>
            <w:tcBorders>
              <w:top w:val="single" w:color="000000" w:sz="4" w:space="0"/>
              <w:left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spacing w:val="1"/>
                <w:w w:val="100"/>
                <w:sz w:val="21"/>
                <w:szCs w:val="21"/>
              </w:rPr>
              <w:t>17</w:t>
            </w:r>
          </w:p>
        </w:tc>
        <w:tc>
          <w:tcPr>
            <w:tcW w:w="582" w:type="dxa"/>
            <w:vMerge w:val="restart"/>
            <w:tcBorders>
              <w:top w:val="single" w:color="000000" w:sz="4" w:space="0"/>
              <w:left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spacing w:val="1"/>
                <w:w w:val="100"/>
                <w:sz w:val="21"/>
                <w:szCs w:val="21"/>
              </w:rPr>
              <w:t>0</w:t>
            </w:r>
            <w:r>
              <w:rPr>
                <w:rFonts w:hint="default" w:ascii="Times New Roman" w:hAnsi="Times New Roman" w:eastAsia="仿宋" w:cs="Times New Roman"/>
                <w:b w:val="0"/>
                <w:bCs w:val="0"/>
                <w:color w:val="auto"/>
                <w:spacing w:val="0"/>
                <w:w w:val="100"/>
                <w:sz w:val="21"/>
                <w:szCs w:val="21"/>
              </w:rPr>
              <w:t>.4</w:t>
            </w:r>
          </w:p>
        </w:tc>
        <w:tc>
          <w:tcPr>
            <w:tcW w:w="634" w:type="dxa"/>
            <w:vMerge w:val="restart"/>
            <w:tcBorders>
              <w:top w:val="single" w:color="000000" w:sz="4" w:space="0"/>
              <w:left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spacing w:val="1"/>
                <w:w w:val="100"/>
                <w:sz w:val="21"/>
                <w:szCs w:val="21"/>
              </w:rPr>
              <w:t>20</w:t>
            </w:r>
          </w:p>
        </w:tc>
        <w:tc>
          <w:tcPr>
            <w:tcW w:w="636" w:type="dxa"/>
            <w:vMerge w:val="restart"/>
            <w:tcBorders>
              <w:top w:val="single" w:color="000000" w:sz="4" w:space="0"/>
              <w:lef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spacing w:val="1"/>
                <w:w w:val="100"/>
                <w:sz w:val="21"/>
                <w:szCs w:val="21"/>
              </w:rPr>
              <w:t>10</w:t>
            </w:r>
            <w:r>
              <w:rPr>
                <w:rFonts w:hint="default" w:ascii="Times New Roman" w:hAnsi="Times New Roman" w:eastAsia="仿宋" w:cs="Times New Roman"/>
                <w:b w:val="0"/>
                <w:bCs w:val="0"/>
                <w:color w:val="auto"/>
                <w:spacing w:val="-4"/>
                <w:w w:val="100"/>
                <w:sz w:val="21"/>
                <w:szCs w:val="21"/>
              </w:rPr>
              <w:t>m</w:t>
            </w:r>
            <w:r>
              <w:rPr>
                <w:rFonts w:hint="default" w:ascii="Times New Roman" w:hAnsi="Times New Roman" w:eastAsia="仿宋" w:cs="Times New Roman"/>
                <w:b w:val="0"/>
                <w:bCs w:val="0"/>
                <w:color w:val="auto"/>
                <w:spacing w:val="0"/>
                <w:w w:val="100"/>
                <w:sz w:val="21"/>
                <w:szCs w:val="21"/>
              </w:rPr>
              <w:t>in</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8" w:hRule="exact"/>
        </w:trPr>
        <w:tc>
          <w:tcPr>
            <w:tcW w:w="949" w:type="dxa"/>
            <w:vMerge w:val="continue"/>
            <w:tcBorders>
              <w:righ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color w:val="auto"/>
                <w:sz w:val="21"/>
                <w:szCs w:val="21"/>
              </w:rPr>
            </w:pPr>
          </w:p>
        </w:tc>
        <w:tc>
          <w:tcPr>
            <w:tcW w:w="1089" w:type="dxa"/>
            <w:tcBorders>
              <w:top w:val="single" w:color="000000" w:sz="4" w:space="0"/>
              <w:left w:val="single" w:color="000000" w:sz="4" w:space="0"/>
              <w:bottom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spacing w:val="0"/>
                <w:w w:val="100"/>
                <w:sz w:val="21"/>
                <w:szCs w:val="21"/>
              </w:rPr>
              <w:t>巯基丙酸</w:t>
            </w:r>
          </w:p>
        </w:tc>
        <w:tc>
          <w:tcPr>
            <w:tcW w:w="814" w:type="dxa"/>
            <w:vMerge w:val="continue"/>
            <w:tcBorders>
              <w:left w:val="single" w:color="000000" w:sz="4" w:space="0"/>
              <w:righ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color w:val="auto"/>
                <w:sz w:val="21"/>
                <w:szCs w:val="21"/>
              </w:rPr>
            </w:pPr>
          </w:p>
        </w:tc>
        <w:tc>
          <w:tcPr>
            <w:tcW w:w="1404" w:type="dxa"/>
            <w:vMerge w:val="continue"/>
            <w:tcBorders>
              <w:left w:val="single" w:color="000000" w:sz="4" w:space="0"/>
              <w:righ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color w:val="auto"/>
                <w:sz w:val="21"/>
                <w:szCs w:val="21"/>
              </w:rPr>
            </w:pPr>
          </w:p>
        </w:tc>
        <w:tc>
          <w:tcPr>
            <w:tcW w:w="973" w:type="dxa"/>
            <w:tcBorders>
              <w:top w:val="single" w:color="000000" w:sz="4" w:space="0"/>
              <w:left w:val="single" w:color="000000" w:sz="4" w:space="0"/>
              <w:bottom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spacing w:val="0"/>
                <w:w w:val="100"/>
                <w:sz w:val="21"/>
                <w:szCs w:val="21"/>
              </w:rPr>
              <w:t>9</w:t>
            </w:r>
          </w:p>
        </w:tc>
        <w:tc>
          <w:tcPr>
            <w:tcW w:w="1053" w:type="dxa"/>
            <w:tcBorders>
              <w:top w:val="single" w:color="000000" w:sz="4" w:space="0"/>
              <w:left w:val="single" w:color="000000" w:sz="4" w:space="0"/>
              <w:bottom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spacing w:val="1"/>
                <w:w w:val="100"/>
                <w:sz w:val="21"/>
                <w:szCs w:val="21"/>
              </w:rPr>
              <w:t>0</w:t>
            </w:r>
            <w:r>
              <w:rPr>
                <w:rFonts w:hint="default" w:ascii="Times New Roman" w:hAnsi="Times New Roman" w:eastAsia="仿宋" w:cs="Times New Roman"/>
                <w:b w:val="0"/>
                <w:bCs w:val="0"/>
                <w:color w:val="auto"/>
                <w:spacing w:val="0"/>
                <w:w w:val="100"/>
                <w:sz w:val="21"/>
                <w:szCs w:val="21"/>
              </w:rPr>
              <w:t>.</w:t>
            </w:r>
            <w:r>
              <w:rPr>
                <w:rFonts w:hint="default" w:ascii="Times New Roman" w:hAnsi="Times New Roman" w:eastAsia="仿宋" w:cs="Times New Roman"/>
                <w:b w:val="0"/>
                <w:bCs w:val="0"/>
                <w:color w:val="auto"/>
                <w:spacing w:val="-2"/>
                <w:w w:val="100"/>
                <w:sz w:val="21"/>
                <w:szCs w:val="21"/>
              </w:rPr>
              <w:t>0</w:t>
            </w:r>
            <w:r>
              <w:rPr>
                <w:rFonts w:hint="default" w:ascii="Times New Roman" w:hAnsi="Times New Roman" w:eastAsia="仿宋" w:cs="Times New Roman"/>
                <w:b w:val="0"/>
                <w:bCs w:val="0"/>
                <w:color w:val="auto"/>
                <w:spacing w:val="1"/>
                <w:w w:val="100"/>
                <w:sz w:val="21"/>
                <w:szCs w:val="21"/>
              </w:rPr>
              <w:t>4</w:t>
            </w:r>
            <w:r>
              <w:rPr>
                <w:rFonts w:hint="default" w:ascii="Times New Roman" w:hAnsi="Times New Roman" w:eastAsia="仿宋" w:cs="Times New Roman"/>
                <w:b w:val="0"/>
                <w:bCs w:val="0"/>
                <w:color w:val="auto"/>
                <w:spacing w:val="0"/>
                <w:w w:val="100"/>
                <w:sz w:val="21"/>
                <w:szCs w:val="21"/>
              </w:rPr>
              <w:t>4</w:t>
            </w:r>
          </w:p>
        </w:tc>
        <w:tc>
          <w:tcPr>
            <w:tcW w:w="641" w:type="dxa"/>
            <w:vMerge w:val="continue"/>
            <w:tcBorders>
              <w:left w:val="single" w:color="000000" w:sz="4" w:space="0"/>
              <w:righ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color w:val="auto"/>
                <w:sz w:val="21"/>
                <w:szCs w:val="21"/>
              </w:rPr>
            </w:pPr>
          </w:p>
        </w:tc>
        <w:tc>
          <w:tcPr>
            <w:tcW w:w="582" w:type="dxa"/>
            <w:vMerge w:val="continue"/>
            <w:tcBorders>
              <w:left w:val="single" w:color="000000" w:sz="4" w:space="0"/>
              <w:righ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color w:val="auto"/>
                <w:sz w:val="21"/>
                <w:szCs w:val="21"/>
              </w:rPr>
            </w:pPr>
          </w:p>
        </w:tc>
        <w:tc>
          <w:tcPr>
            <w:tcW w:w="634" w:type="dxa"/>
            <w:vMerge w:val="continue"/>
            <w:tcBorders>
              <w:left w:val="single" w:color="000000" w:sz="4" w:space="0"/>
              <w:righ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color w:val="auto"/>
                <w:sz w:val="21"/>
                <w:szCs w:val="21"/>
              </w:rPr>
            </w:pPr>
          </w:p>
        </w:tc>
        <w:tc>
          <w:tcPr>
            <w:tcW w:w="636" w:type="dxa"/>
            <w:vMerge w:val="continue"/>
            <w:tcBorders>
              <w:lef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038" w:hRule="exact"/>
        </w:trPr>
        <w:tc>
          <w:tcPr>
            <w:tcW w:w="949" w:type="dxa"/>
            <w:vMerge w:val="continue"/>
            <w:tcBorders>
              <w:righ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color w:val="auto"/>
                <w:sz w:val="21"/>
                <w:szCs w:val="21"/>
              </w:rPr>
            </w:pPr>
          </w:p>
        </w:tc>
        <w:tc>
          <w:tcPr>
            <w:tcW w:w="1089" w:type="dxa"/>
            <w:tcBorders>
              <w:top w:val="single" w:color="000000" w:sz="4" w:space="0"/>
              <w:left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spacing w:val="0"/>
                <w:w w:val="100"/>
                <w:sz w:val="21"/>
                <w:szCs w:val="21"/>
              </w:rPr>
              <w:t>醚类</w:t>
            </w:r>
          </w:p>
        </w:tc>
        <w:tc>
          <w:tcPr>
            <w:tcW w:w="814" w:type="dxa"/>
            <w:vMerge w:val="continue"/>
            <w:tcBorders>
              <w:left w:val="single" w:color="000000" w:sz="4" w:space="0"/>
              <w:righ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color w:val="auto"/>
                <w:sz w:val="21"/>
                <w:szCs w:val="21"/>
              </w:rPr>
            </w:pPr>
          </w:p>
        </w:tc>
        <w:tc>
          <w:tcPr>
            <w:tcW w:w="1404" w:type="dxa"/>
            <w:vMerge w:val="continue"/>
            <w:tcBorders>
              <w:left w:val="single" w:color="000000" w:sz="4" w:space="0"/>
              <w:righ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color w:val="auto"/>
                <w:sz w:val="21"/>
                <w:szCs w:val="21"/>
              </w:rPr>
            </w:pPr>
          </w:p>
        </w:tc>
        <w:tc>
          <w:tcPr>
            <w:tcW w:w="973" w:type="dxa"/>
            <w:tcBorders>
              <w:top w:val="single" w:color="000000" w:sz="4" w:space="0"/>
              <w:left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spacing w:val="1"/>
                <w:w w:val="100"/>
                <w:sz w:val="21"/>
                <w:szCs w:val="21"/>
              </w:rPr>
              <w:t>33</w:t>
            </w:r>
          </w:p>
        </w:tc>
        <w:tc>
          <w:tcPr>
            <w:tcW w:w="1053" w:type="dxa"/>
            <w:tcBorders>
              <w:top w:val="single" w:color="000000" w:sz="4" w:space="0"/>
              <w:left w:val="single" w:color="000000" w:sz="4" w:space="0"/>
              <w:right w:val="single" w:color="000000" w:sz="4" w:space="0"/>
            </w:tcBorders>
            <w:vAlign w:val="center"/>
          </w:tcPr>
          <w:p>
            <w:pPr>
              <w:pStyle w:val="31"/>
              <w:widowControl w:val="0"/>
              <w:wordWrap/>
              <w:adjustRightInd/>
              <w:snapToGrid/>
              <w:spacing w:before="0" w:beforeAutospacing="0" w:line="240" w:lineRule="auto"/>
              <w:ind w:left="0" w:righ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val="0"/>
                <w:bCs w:val="0"/>
                <w:color w:val="auto"/>
                <w:spacing w:val="1"/>
                <w:w w:val="100"/>
                <w:sz w:val="21"/>
                <w:szCs w:val="21"/>
              </w:rPr>
              <w:t>0</w:t>
            </w:r>
            <w:r>
              <w:rPr>
                <w:rFonts w:hint="default" w:ascii="Times New Roman" w:hAnsi="Times New Roman" w:eastAsia="仿宋" w:cs="Times New Roman"/>
                <w:b w:val="0"/>
                <w:bCs w:val="0"/>
                <w:color w:val="auto"/>
                <w:spacing w:val="0"/>
                <w:w w:val="100"/>
                <w:sz w:val="21"/>
                <w:szCs w:val="21"/>
              </w:rPr>
              <w:t>.</w:t>
            </w:r>
            <w:r>
              <w:rPr>
                <w:rFonts w:hint="default" w:ascii="Times New Roman" w:hAnsi="Times New Roman" w:eastAsia="仿宋" w:cs="Times New Roman"/>
                <w:b w:val="0"/>
                <w:bCs w:val="0"/>
                <w:color w:val="auto"/>
                <w:spacing w:val="-2"/>
                <w:w w:val="100"/>
                <w:sz w:val="21"/>
                <w:szCs w:val="21"/>
              </w:rPr>
              <w:t>1</w:t>
            </w:r>
            <w:r>
              <w:rPr>
                <w:rFonts w:hint="default" w:ascii="Times New Roman" w:hAnsi="Times New Roman" w:eastAsia="仿宋" w:cs="Times New Roman"/>
                <w:b w:val="0"/>
                <w:bCs w:val="0"/>
                <w:color w:val="auto"/>
                <w:spacing w:val="1"/>
                <w:w w:val="100"/>
                <w:sz w:val="21"/>
                <w:szCs w:val="21"/>
              </w:rPr>
              <w:t>6</w:t>
            </w:r>
            <w:r>
              <w:rPr>
                <w:rFonts w:hint="default" w:ascii="Times New Roman" w:hAnsi="Times New Roman" w:eastAsia="仿宋" w:cs="Times New Roman"/>
                <w:b w:val="0"/>
                <w:bCs w:val="0"/>
                <w:color w:val="auto"/>
                <w:spacing w:val="0"/>
                <w:w w:val="100"/>
                <w:sz w:val="21"/>
                <w:szCs w:val="21"/>
              </w:rPr>
              <w:t>3</w:t>
            </w:r>
          </w:p>
        </w:tc>
        <w:tc>
          <w:tcPr>
            <w:tcW w:w="641" w:type="dxa"/>
            <w:vMerge w:val="continue"/>
            <w:tcBorders>
              <w:left w:val="single" w:color="000000" w:sz="4" w:space="0"/>
              <w:righ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color w:val="auto"/>
                <w:sz w:val="21"/>
                <w:szCs w:val="21"/>
              </w:rPr>
            </w:pPr>
          </w:p>
        </w:tc>
        <w:tc>
          <w:tcPr>
            <w:tcW w:w="582" w:type="dxa"/>
            <w:vMerge w:val="continue"/>
            <w:tcBorders>
              <w:left w:val="single" w:color="000000" w:sz="4" w:space="0"/>
              <w:righ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color w:val="auto"/>
                <w:sz w:val="21"/>
                <w:szCs w:val="21"/>
              </w:rPr>
            </w:pPr>
          </w:p>
        </w:tc>
        <w:tc>
          <w:tcPr>
            <w:tcW w:w="634" w:type="dxa"/>
            <w:vMerge w:val="continue"/>
            <w:tcBorders>
              <w:left w:val="single" w:color="000000" w:sz="4" w:space="0"/>
              <w:righ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color w:val="auto"/>
                <w:sz w:val="21"/>
                <w:szCs w:val="21"/>
              </w:rPr>
            </w:pPr>
          </w:p>
        </w:tc>
        <w:tc>
          <w:tcPr>
            <w:tcW w:w="636" w:type="dxa"/>
            <w:vMerge w:val="continue"/>
            <w:tcBorders>
              <w:left w:val="single" w:color="000000" w:sz="4" w:space="0"/>
            </w:tcBorders>
            <w:vAlign w:val="center"/>
          </w:tcPr>
          <w:p>
            <w:pPr>
              <w:widowControl w:val="0"/>
              <w:wordWrap/>
              <w:adjustRightInd/>
              <w:snapToGrid/>
              <w:spacing w:beforeAutospacing="0" w:line="240" w:lineRule="auto"/>
              <w:ind w:left="0" w:right="0" w:firstLine="0"/>
              <w:jc w:val="center"/>
              <w:textAlignment w:val="auto"/>
              <w:rPr>
                <w:rFonts w:hint="default" w:ascii="Times New Roman" w:hAnsi="Times New Roman" w:eastAsia="仿宋" w:cs="Times New Roman"/>
                <w:color w:val="auto"/>
                <w:sz w:val="21"/>
                <w:szCs w:val="21"/>
              </w:rPr>
            </w:pPr>
          </w:p>
        </w:tc>
      </w:tr>
    </w:tbl>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根据上表，废气处理设施故障时，废气排放量为：</w:t>
      </w:r>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（0.25+0.044+0.163）*10/60=0.076kg</w:t>
      </w:r>
    </w:p>
    <w:p>
      <w:pPr>
        <w:pStyle w:val="5"/>
        <w:keepNext/>
        <w:keepLines/>
        <w:widowControl w:val="0"/>
        <w:adjustRightInd w:val="0"/>
        <w:snapToGrid w:val="0"/>
        <w:spacing w:beforeLines="50" w:afterLines="50" w:line="240" w:lineRule="auto"/>
        <w:ind w:left="0"/>
        <w:jc w:val="both"/>
        <w:rPr>
          <w:rFonts w:hint="default" w:ascii="Times New Roman" w:hAnsi="Times New Roman" w:eastAsia="仿宋" w:cs="Times New Roman"/>
          <w:b/>
          <w:color w:val="auto"/>
          <w:sz w:val="30"/>
          <w:szCs w:val="30"/>
        </w:rPr>
      </w:pPr>
      <w:bookmarkStart w:id="77" w:name="_Toc10286"/>
      <w:bookmarkStart w:id="78" w:name="_Toc516436379"/>
      <w:r>
        <w:rPr>
          <w:rFonts w:hint="default" w:ascii="Times New Roman" w:hAnsi="Times New Roman" w:eastAsia="仿宋" w:cs="Times New Roman"/>
          <w:b/>
          <w:color w:val="auto"/>
          <w:sz w:val="30"/>
          <w:szCs w:val="30"/>
        </w:rPr>
        <w:t>4.3环境风险物质释放途径、风险防控与应急措施、应急资源</w:t>
      </w:r>
      <w:bookmarkEnd w:id="77"/>
      <w:bookmarkEnd w:id="78"/>
    </w:p>
    <w:p>
      <w:pPr>
        <w:widowControl w:val="0"/>
        <w:wordWrap/>
        <w:adjustRightInd/>
        <w:snapToGrid w:val="0"/>
        <w:spacing w:line="240" w:lineRule="auto"/>
        <w:ind w:firstLine="560" w:firstLineChars="200"/>
        <w:textAlignment w:val="auto"/>
        <w:rPr>
          <w:rFonts w:hint="eastAsia" w:eastAsia="仿宋"/>
          <w:color w:val="auto"/>
          <w:sz w:val="28"/>
          <w:szCs w:val="28"/>
          <w:lang w:val="en-US" w:eastAsia="zh-CN"/>
        </w:rPr>
      </w:pPr>
      <w:r>
        <w:rPr>
          <w:rFonts w:hint="eastAsia" w:eastAsia="仿宋"/>
          <w:color w:val="auto"/>
          <w:sz w:val="28"/>
          <w:szCs w:val="28"/>
          <w:lang w:val="en-US" w:eastAsia="zh-CN"/>
        </w:rPr>
        <w:t>企业环境风险物质释放途径、风险防控与应急措施、应急资源分</w:t>
      </w:r>
      <w:r>
        <w:rPr>
          <w:rFonts w:hint="default" w:ascii="Times New Roman" w:hAnsi="Times New Roman" w:eastAsia="仿宋" w:cs="Times New Roman"/>
          <w:color w:val="auto"/>
          <w:sz w:val="28"/>
          <w:szCs w:val="28"/>
          <w:lang w:val="en-US" w:eastAsia="zh-CN"/>
        </w:rPr>
        <w:t>析见表4.3-1。</w:t>
      </w:r>
    </w:p>
    <w:p>
      <w:pPr>
        <w:snapToGrid w:val="0"/>
        <w:spacing w:line="500" w:lineRule="exact"/>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表4.3-1环境风险物质释放途径、风险防控与应急措施、应急资源分析一览表</w:t>
      </w:r>
    </w:p>
    <w:tbl>
      <w:tblPr>
        <w:tblStyle w:val="21"/>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448"/>
        <w:gridCol w:w="1478"/>
        <w:gridCol w:w="1230"/>
        <w:gridCol w:w="1260"/>
        <w:gridCol w:w="1649"/>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8" w:type="dxa"/>
            <w:vAlign w:val="center"/>
          </w:tcPr>
          <w:p>
            <w:pPr>
              <w:pStyle w:val="17"/>
              <w:rPr>
                <w:rFonts w:hint="eastAsia" w:ascii="Times New Roman" w:hAnsi="Times New Roman" w:eastAsia="仿宋" w:cs="Times New Roman"/>
                <w:b/>
                <w:bCs/>
                <w:color w:val="auto"/>
                <w:sz w:val="21"/>
                <w:szCs w:val="21"/>
              </w:rPr>
            </w:pPr>
            <w:r>
              <w:rPr>
                <w:rFonts w:hint="eastAsia" w:ascii="Times New Roman" w:hAnsi="Times New Roman" w:eastAsia="仿宋" w:cs="Times New Roman"/>
                <w:b/>
                <w:bCs/>
                <w:color w:val="auto"/>
                <w:sz w:val="21"/>
                <w:szCs w:val="21"/>
              </w:rPr>
              <w:t>序号</w:t>
            </w:r>
          </w:p>
        </w:tc>
        <w:tc>
          <w:tcPr>
            <w:tcW w:w="1448" w:type="dxa"/>
            <w:vAlign w:val="center"/>
          </w:tcPr>
          <w:p>
            <w:pPr>
              <w:pStyle w:val="17"/>
              <w:rPr>
                <w:rFonts w:hint="eastAsia" w:ascii="Times New Roman" w:hAnsi="Times New Roman" w:eastAsia="仿宋" w:cs="Times New Roman"/>
                <w:b/>
                <w:bCs/>
                <w:color w:val="auto"/>
                <w:sz w:val="21"/>
                <w:szCs w:val="21"/>
              </w:rPr>
            </w:pPr>
            <w:r>
              <w:rPr>
                <w:rFonts w:hint="eastAsia" w:ascii="Times New Roman" w:hAnsi="Times New Roman" w:eastAsia="仿宋" w:cs="Times New Roman"/>
                <w:b/>
                <w:bCs/>
                <w:color w:val="auto"/>
                <w:sz w:val="21"/>
                <w:szCs w:val="21"/>
              </w:rPr>
              <w:t>突发环境</w:t>
            </w:r>
          </w:p>
          <w:p>
            <w:pPr>
              <w:pStyle w:val="17"/>
              <w:rPr>
                <w:rFonts w:hint="eastAsia" w:ascii="Times New Roman" w:hAnsi="Times New Roman" w:eastAsia="仿宋" w:cs="Times New Roman"/>
                <w:b/>
                <w:bCs/>
                <w:color w:val="auto"/>
                <w:sz w:val="21"/>
                <w:szCs w:val="21"/>
              </w:rPr>
            </w:pPr>
            <w:r>
              <w:rPr>
                <w:rFonts w:hint="eastAsia" w:ascii="Times New Roman" w:hAnsi="Times New Roman" w:eastAsia="仿宋" w:cs="Times New Roman"/>
                <w:b/>
                <w:bCs/>
                <w:color w:val="auto"/>
                <w:sz w:val="21"/>
                <w:szCs w:val="21"/>
              </w:rPr>
              <w:t>事件类型</w:t>
            </w:r>
          </w:p>
        </w:tc>
        <w:tc>
          <w:tcPr>
            <w:tcW w:w="1478" w:type="dxa"/>
            <w:vAlign w:val="center"/>
          </w:tcPr>
          <w:p>
            <w:pPr>
              <w:pStyle w:val="17"/>
              <w:rPr>
                <w:rFonts w:hint="eastAsia" w:ascii="Times New Roman" w:hAnsi="Times New Roman" w:eastAsia="仿宋" w:cs="Times New Roman"/>
                <w:b/>
                <w:bCs/>
                <w:color w:val="auto"/>
                <w:sz w:val="21"/>
                <w:szCs w:val="21"/>
              </w:rPr>
            </w:pPr>
            <w:r>
              <w:rPr>
                <w:rFonts w:hint="eastAsia" w:ascii="Times New Roman" w:hAnsi="Times New Roman" w:eastAsia="仿宋" w:cs="Times New Roman"/>
                <w:b/>
                <w:bCs/>
                <w:color w:val="auto"/>
                <w:sz w:val="21"/>
                <w:szCs w:val="21"/>
              </w:rPr>
              <w:t>源头</w:t>
            </w:r>
          </w:p>
        </w:tc>
        <w:tc>
          <w:tcPr>
            <w:tcW w:w="1230" w:type="dxa"/>
            <w:vAlign w:val="center"/>
          </w:tcPr>
          <w:p>
            <w:pPr>
              <w:pStyle w:val="17"/>
              <w:rPr>
                <w:rFonts w:hint="eastAsia" w:ascii="Times New Roman" w:hAnsi="Times New Roman" w:eastAsia="仿宋" w:cs="Times New Roman"/>
                <w:b/>
                <w:bCs/>
                <w:color w:val="auto"/>
                <w:sz w:val="21"/>
                <w:szCs w:val="21"/>
              </w:rPr>
            </w:pPr>
            <w:r>
              <w:rPr>
                <w:rFonts w:hint="eastAsia" w:ascii="Times New Roman" w:hAnsi="Times New Roman" w:eastAsia="仿宋" w:cs="Times New Roman"/>
                <w:b/>
                <w:bCs/>
                <w:color w:val="auto"/>
                <w:sz w:val="21"/>
                <w:szCs w:val="21"/>
              </w:rPr>
              <w:t>释放条件</w:t>
            </w:r>
          </w:p>
        </w:tc>
        <w:tc>
          <w:tcPr>
            <w:tcW w:w="1260" w:type="dxa"/>
            <w:vAlign w:val="center"/>
          </w:tcPr>
          <w:p>
            <w:pPr>
              <w:pStyle w:val="17"/>
              <w:rPr>
                <w:rFonts w:hint="eastAsia" w:ascii="Times New Roman" w:hAnsi="Times New Roman" w:eastAsia="仿宋" w:cs="Times New Roman"/>
                <w:b/>
                <w:bCs/>
                <w:color w:val="auto"/>
                <w:sz w:val="21"/>
                <w:szCs w:val="21"/>
              </w:rPr>
            </w:pPr>
            <w:r>
              <w:rPr>
                <w:rFonts w:hint="eastAsia" w:ascii="Times New Roman" w:hAnsi="Times New Roman" w:eastAsia="仿宋" w:cs="Times New Roman"/>
                <w:b/>
                <w:bCs/>
                <w:color w:val="auto"/>
                <w:sz w:val="21"/>
                <w:szCs w:val="21"/>
              </w:rPr>
              <w:t>排放途径</w:t>
            </w:r>
          </w:p>
        </w:tc>
        <w:tc>
          <w:tcPr>
            <w:tcW w:w="1649" w:type="dxa"/>
            <w:vAlign w:val="center"/>
          </w:tcPr>
          <w:p>
            <w:pPr>
              <w:pStyle w:val="17"/>
              <w:rPr>
                <w:rFonts w:hint="eastAsia" w:ascii="Times New Roman" w:hAnsi="Times New Roman" w:eastAsia="仿宋" w:cs="Times New Roman"/>
                <w:b/>
                <w:bCs/>
                <w:color w:val="auto"/>
                <w:sz w:val="21"/>
                <w:szCs w:val="21"/>
              </w:rPr>
            </w:pPr>
            <w:r>
              <w:rPr>
                <w:rFonts w:hint="eastAsia" w:ascii="Times New Roman" w:hAnsi="Times New Roman" w:eastAsia="仿宋" w:cs="Times New Roman"/>
                <w:b/>
                <w:bCs/>
                <w:color w:val="auto"/>
                <w:sz w:val="21"/>
                <w:szCs w:val="21"/>
              </w:rPr>
              <w:t>风险防控与应急措施</w:t>
            </w:r>
          </w:p>
        </w:tc>
        <w:tc>
          <w:tcPr>
            <w:tcW w:w="1296" w:type="dxa"/>
            <w:vAlign w:val="center"/>
          </w:tcPr>
          <w:p>
            <w:pPr>
              <w:pStyle w:val="17"/>
              <w:rPr>
                <w:rFonts w:hint="eastAsia" w:ascii="Times New Roman" w:hAnsi="Times New Roman" w:eastAsia="仿宋" w:cs="Times New Roman"/>
                <w:b/>
                <w:bCs/>
                <w:color w:val="auto"/>
                <w:sz w:val="21"/>
                <w:szCs w:val="21"/>
              </w:rPr>
            </w:pPr>
            <w:r>
              <w:rPr>
                <w:rFonts w:hint="eastAsia" w:ascii="Times New Roman" w:hAnsi="Times New Roman" w:eastAsia="仿宋" w:cs="Times New Roman"/>
                <w:b/>
                <w:bCs/>
                <w:color w:val="auto"/>
                <w:sz w:val="21"/>
                <w:szCs w:val="21"/>
              </w:rPr>
              <w:t>应急资源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8" w:type="dxa"/>
            <w:vAlign w:val="center"/>
          </w:tcPr>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1</w:t>
            </w:r>
          </w:p>
        </w:tc>
        <w:tc>
          <w:tcPr>
            <w:tcW w:w="1448" w:type="dxa"/>
            <w:vAlign w:val="center"/>
          </w:tcPr>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化学品泄露环境污染事件</w:t>
            </w:r>
          </w:p>
        </w:tc>
        <w:tc>
          <w:tcPr>
            <w:tcW w:w="1478" w:type="dxa"/>
            <w:vAlign w:val="center"/>
          </w:tcPr>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化学品、罐区、生产车间反应釜、仓库</w:t>
            </w:r>
          </w:p>
        </w:tc>
        <w:tc>
          <w:tcPr>
            <w:tcW w:w="1230" w:type="dxa"/>
            <w:vAlign w:val="center"/>
          </w:tcPr>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泄露、管道破裂、设备损坏、操作不当</w:t>
            </w:r>
          </w:p>
        </w:tc>
        <w:tc>
          <w:tcPr>
            <w:tcW w:w="1260" w:type="dxa"/>
            <w:vAlign w:val="center"/>
          </w:tcPr>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地表径流，空气扩散</w:t>
            </w:r>
          </w:p>
        </w:tc>
        <w:tc>
          <w:tcPr>
            <w:tcW w:w="1649" w:type="dxa"/>
            <w:vAlign w:val="center"/>
          </w:tcPr>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围堰围挡后，汇集至收集沟排至事故池、关闭</w:t>
            </w:r>
            <w:r>
              <w:rPr>
                <w:rFonts w:hint="eastAsia" w:ascii="Times New Roman" w:hAnsi="Times New Roman" w:eastAsia="仿宋" w:cs="Times New Roman"/>
                <w:color w:val="auto"/>
                <w:sz w:val="21"/>
                <w:szCs w:val="21"/>
              </w:rPr>
              <w:t>雨水排放口</w:t>
            </w:r>
          </w:p>
        </w:tc>
        <w:tc>
          <w:tcPr>
            <w:tcW w:w="1296" w:type="dxa"/>
            <w:vAlign w:val="center"/>
          </w:tcPr>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消防栓、报警仪、呼吸面具、</w:t>
            </w:r>
          </w:p>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灭火器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8" w:type="dxa"/>
            <w:vAlign w:val="center"/>
          </w:tcPr>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2</w:t>
            </w:r>
          </w:p>
        </w:tc>
        <w:tc>
          <w:tcPr>
            <w:tcW w:w="1448" w:type="dxa"/>
            <w:vAlign w:val="center"/>
          </w:tcPr>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火灾、</w:t>
            </w:r>
            <w:r>
              <w:rPr>
                <w:rFonts w:hint="eastAsia" w:ascii="Times New Roman" w:hAnsi="Times New Roman" w:eastAsia="仿宋" w:cs="Times New Roman"/>
                <w:color w:val="auto"/>
                <w:sz w:val="21"/>
                <w:szCs w:val="21"/>
                <w:lang w:eastAsia="zh-CN"/>
              </w:rPr>
              <w:t>爆炸品及</w:t>
            </w:r>
            <w:r>
              <w:rPr>
                <w:rFonts w:hint="eastAsia" w:ascii="Times New Roman" w:hAnsi="Times New Roman" w:eastAsia="仿宋" w:cs="Times New Roman"/>
                <w:color w:val="auto"/>
                <w:sz w:val="21"/>
                <w:szCs w:val="21"/>
              </w:rPr>
              <w:t>次生环境事件</w:t>
            </w:r>
          </w:p>
        </w:tc>
        <w:tc>
          <w:tcPr>
            <w:tcW w:w="1478" w:type="dxa"/>
            <w:vAlign w:val="center"/>
          </w:tcPr>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储罐区</w:t>
            </w:r>
            <w:r>
              <w:rPr>
                <w:rFonts w:hint="eastAsia"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eastAsia="zh-CN"/>
              </w:rPr>
              <w:t>化学品仓库、</w:t>
            </w:r>
          </w:p>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生产车间</w:t>
            </w:r>
            <w:r>
              <w:rPr>
                <w:rFonts w:hint="eastAsia" w:ascii="Times New Roman" w:hAnsi="Times New Roman" w:eastAsia="仿宋" w:cs="Times New Roman"/>
                <w:color w:val="auto"/>
                <w:sz w:val="21"/>
                <w:szCs w:val="21"/>
                <w:lang w:val="en-US" w:eastAsia="zh-CN"/>
              </w:rPr>
              <w:t xml:space="preserve"> </w:t>
            </w:r>
          </w:p>
        </w:tc>
        <w:tc>
          <w:tcPr>
            <w:tcW w:w="1230" w:type="dxa"/>
            <w:vAlign w:val="center"/>
          </w:tcPr>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泄露、贮存不当，</w:t>
            </w:r>
            <w:r>
              <w:rPr>
                <w:rFonts w:hint="eastAsia" w:ascii="Times New Roman" w:hAnsi="Times New Roman" w:eastAsia="仿宋" w:cs="Times New Roman"/>
                <w:color w:val="auto"/>
                <w:sz w:val="21"/>
                <w:szCs w:val="21"/>
              </w:rPr>
              <w:t>消防水漫流</w:t>
            </w:r>
          </w:p>
        </w:tc>
        <w:tc>
          <w:tcPr>
            <w:tcW w:w="1260" w:type="dxa"/>
            <w:vAlign w:val="center"/>
          </w:tcPr>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空气扩散、</w:t>
            </w:r>
            <w:r>
              <w:rPr>
                <w:rFonts w:hint="eastAsia" w:ascii="Times New Roman" w:hAnsi="Times New Roman" w:eastAsia="仿宋" w:cs="Times New Roman"/>
                <w:color w:val="auto"/>
                <w:sz w:val="21"/>
                <w:szCs w:val="21"/>
              </w:rPr>
              <w:t>地表径流</w:t>
            </w:r>
          </w:p>
        </w:tc>
        <w:tc>
          <w:tcPr>
            <w:tcW w:w="1649" w:type="dxa"/>
            <w:vAlign w:val="center"/>
          </w:tcPr>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消防栓、灭火器</w:t>
            </w:r>
            <w:r>
              <w:rPr>
                <w:rFonts w:hint="eastAsia" w:ascii="Times New Roman" w:hAnsi="Times New Roman" w:eastAsia="仿宋" w:cs="Times New Roman"/>
                <w:color w:val="auto"/>
                <w:sz w:val="21"/>
                <w:szCs w:val="21"/>
              </w:rPr>
              <w:t>、关闭雨水排放口和污水排放口</w:t>
            </w:r>
          </w:p>
        </w:tc>
        <w:tc>
          <w:tcPr>
            <w:tcW w:w="1296" w:type="dxa"/>
            <w:vAlign w:val="center"/>
          </w:tcPr>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消防栓、</w:t>
            </w:r>
          </w:p>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灭火器、</w:t>
            </w:r>
          </w:p>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呼吸面具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8" w:type="dxa"/>
            <w:vAlign w:val="center"/>
          </w:tcPr>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3</w:t>
            </w:r>
          </w:p>
        </w:tc>
        <w:tc>
          <w:tcPr>
            <w:tcW w:w="1448" w:type="dxa"/>
            <w:vAlign w:val="center"/>
          </w:tcPr>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废气超标</w:t>
            </w:r>
          </w:p>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排放</w:t>
            </w:r>
          </w:p>
        </w:tc>
        <w:tc>
          <w:tcPr>
            <w:tcW w:w="1478" w:type="dxa"/>
            <w:vAlign w:val="center"/>
          </w:tcPr>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废气排放口</w:t>
            </w:r>
          </w:p>
        </w:tc>
        <w:tc>
          <w:tcPr>
            <w:tcW w:w="1230" w:type="dxa"/>
            <w:vAlign w:val="center"/>
          </w:tcPr>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rPr>
              <w:t>设备损坏、</w:t>
            </w:r>
            <w:r>
              <w:rPr>
                <w:rFonts w:hint="eastAsia" w:ascii="Times New Roman" w:hAnsi="Times New Roman" w:eastAsia="仿宋" w:cs="Times New Roman"/>
                <w:color w:val="auto"/>
                <w:sz w:val="21"/>
                <w:szCs w:val="21"/>
                <w:lang w:eastAsia="zh-CN"/>
              </w:rPr>
              <w:t>操作不当</w:t>
            </w:r>
          </w:p>
        </w:tc>
        <w:tc>
          <w:tcPr>
            <w:tcW w:w="1260" w:type="dxa"/>
            <w:vAlign w:val="center"/>
          </w:tcPr>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空气扩散</w:t>
            </w:r>
          </w:p>
        </w:tc>
        <w:tc>
          <w:tcPr>
            <w:tcW w:w="1649" w:type="dxa"/>
            <w:vAlign w:val="center"/>
          </w:tcPr>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停产并维修</w:t>
            </w:r>
          </w:p>
        </w:tc>
        <w:tc>
          <w:tcPr>
            <w:tcW w:w="1296" w:type="dxa"/>
            <w:vAlign w:val="center"/>
          </w:tcPr>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8" w:type="dxa"/>
            <w:vAlign w:val="center"/>
          </w:tcPr>
          <w:p>
            <w:pPr>
              <w:pStyle w:val="17"/>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w:t>
            </w:r>
          </w:p>
        </w:tc>
        <w:tc>
          <w:tcPr>
            <w:tcW w:w="1448" w:type="dxa"/>
            <w:vAlign w:val="center"/>
          </w:tcPr>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废水超标</w:t>
            </w:r>
          </w:p>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排放</w:t>
            </w:r>
          </w:p>
        </w:tc>
        <w:tc>
          <w:tcPr>
            <w:tcW w:w="1478" w:type="dxa"/>
            <w:vAlign w:val="center"/>
          </w:tcPr>
          <w:p>
            <w:pPr>
              <w:pStyle w:val="17"/>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废水排放口</w:t>
            </w:r>
          </w:p>
        </w:tc>
        <w:tc>
          <w:tcPr>
            <w:tcW w:w="1230" w:type="dxa"/>
            <w:vAlign w:val="center"/>
          </w:tcPr>
          <w:p>
            <w:pPr>
              <w:pStyle w:val="17"/>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eastAsia="zh-CN"/>
              </w:rPr>
              <w:t>设备故障、操作不当</w:t>
            </w:r>
          </w:p>
        </w:tc>
        <w:tc>
          <w:tcPr>
            <w:tcW w:w="1260" w:type="dxa"/>
            <w:vAlign w:val="center"/>
          </w:tcPr>
          <w:p>
            <w:pPr>
              <w:pStyle w:val="17"/>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649" w:type="dxa"/>
            <w:vAlign w:val="center"/>
          </w:tcPr>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停产并维修</w:t>
            </w:r>
          </w:p>
        </w:tc>
        <w:tc>
          <w:tcPr>
            <w:tcW w:w="1296" w:type="dxa"/>
            <w:vAlign w:val="center"/>
          </w:tcPr>
          <w:p>
            <w:pPr>
              <w:pStyle w:val="17"/>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在线监测</w:t>
            </w:r>
          </w:p>
          <w:p>
            <w:pPr>
              <w:pStyle w:val="17"/>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8" w:type="dxa"/>
            <w:vAlign w:val="center"/>
          </w:tcPr>
          <w:p>
            <w:pPr>
              <w:pStyle w:val="17"/>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5</w:t>
            </w:r>
          </w:p>
        </w:tc>
        <w:tc>
          <w:tcPr>
            <w:tcW w:w="1448" w:type="dxa"/>
            <w:vAlign w:val="center"/>
          </w:tcPr>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地质灾害、暴雨、台风产生的次生灾害</w:t>
            </w:r>
          </w:p>
        </w:tc>
        <w:tc>
          <w:tcPr>
            <w:tcW w:w="1478" w:type="dxa"/>
            <w:vAlign w:val="center"/>
          </w:tcPr>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雨水、</w:t>
            </w:r>
          </w:p>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污水排放口</w:t>
            </w:r>
          </w:p>
        </w:tc>
        <w:tc>
          <w:tcPr>
            <w:tcW w:w="1230" w:type="dxa"/>
            <w:vAlign w:val="center"/>
          </w:tcPr>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污水排放</w:t>
            </w:r>
          </w:p>
        </w:tc>
        <w:tc>
          <w:tcPr>
            <w:tcW w:w="1260" w:type="dxa"/>
            <w:vAlign w:val="center"/>
          </w:tcPr>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地表径流</w:t>
            </w:r>
          </w:p>
        </w:tc>
        <w:tc>
          <w:tcPr>
            <w:tcW w:w="1649" w:type="dxa"/>
            <w:vAlign w:val="center"/>
          </w:tcPr>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砂土、围堵、关闭雨水排放口和污水排放口</w:t>
            </w:r>
          </w:p>
        </w:tc>
        <w:tc>
          <w:tcPr>
            <w:tcW w:w="1296" w:type="dxa"/>
            <w:vAlign w:val="center"/>
          </w:tcPr>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潜水泵、</w:t>
            </w:r>
          </w:p>
          <w:p>
            <w:pPr>
              <w:pStyle w:val="17"/>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砂包</w:t>
            </w:r>
          </w:p>
        </w:tc>
      </w:tr>
    </w:tbl>
    <w:p>
      <w:pPr>
        <w:pStyle w:val="5"/>
        <w:keepNext/>
        <w:keepLines/>
        <w:widowControl w:val="0"/>
        <w:wordWrap/>
        <w:adjustRightInd w:val="0"/>
        <w:snapToGrid w:val="0"/>
        <w:spacing w:beforeLines="50" w:afterLines="50" w:line="500" w:lineRule="exact"/>
        <w:ind w:left="0"/>
        <w:jc w:val="both"/>
        <w:textAlignment w:val="auto"/>
        <w:rPr>
          <w:rFonts w:hint="default" w:ascii="Times New Roman" w:hAnsi="Times New Roman" w:eastAsia="仿宋" w:cs="Times New Roman"/>
          <w:b/>
          <w:color w:val="auto"/>
          <w:sz w:val="30"/>
          <w:szCs w:val="30"/>
        </w:rPr>
      </w:pPr>
      <w:bookmarkStart w:id="79" w:name="_Toc29331"/>
      <w:bookmarkStart w:id="80" w:name="_Toc516436381"/>
      <w:r>
        <w:rPr>
          <w:rFonts w:hint="default" w:ascii="Times New Roman" w:hAnsi="Times New Roman" w:eastAsia="仿宋" w:cs="Times New Roman"/>
          <w:b/>
          <w:color w:val="auto"/>
          <w:sz w:val="30"/>
          <w:szCs w:val="30"/>
        </w:rPr>
        <w:t>4.4 突发环境事件危害后果分析</w:t>
      </w:r>
      <w:bookmarkEnd w:id="79"/>
    </w:p>
    <w:p>
      <w:pPr>
        <w:widowControl w:val="0"/>
        <w:numPr>
          <w:ilvl w:val="0"/>
          <w:numId w:val="0"/>
        </w:numPr>
        <w:tabs>
          <w:tab w:val="left" w:pos="883"/>
        </w:tabs>
        <w:wordWrap/>
        <w:adjustRightInd/>
        <w:snapToGrid/>
        <w:spacing w:afterLines="50" w:line="360" w:lineRule="auto"/>
        <w:jc w:val="left"/>
        <w:textAlignment w:val="auto"/>
        <w:outlineLvl w:val="2"/>
        <w:rPr>
          <w:rFonts w:hint="default" w:ascii="Times New Roman" w:hAnsi="Times New Roman" w:eastAsia="仿宋" w:cs="Times New Roman"/>
          <w:b/>
          <w:bCs/>
          <w:color w:val="auto"/>
          <w:sz w:val="28"/>
          <w:szCs w:val="28"/>
        </w:rPr>
      </w:pPr>
      <w:bookmarkStart w:id="81" w:name="_Toc1382"/>
      <w:r>
        <w:rPr>
          <w:rFonts w:hint="default" w:ascii="Times New Roman" w:hAnsi="Times New Roman" w:eastAsia="仿宋" w:cs="Times New Roman"/>
          <w:b/>
          <w:bCs/>
          <w:color w:val="auto"/>
          <w:sz w:val="28"/>
          <w:szCs w:val="28"/>
        </w:rPr>
        <w:t>4.4.</w:t>
      </w:r>
      <w:r>
        <w:rPr>
          <w:rFonts w:hint="eastAsia" w:ascii="Times New Roman" w:hAnsi="Times New Roman" w:eastAsia="仿宋" w:cs="Times New Roman"/>
          <w:b/>
          <w:bCs/>
          <w:color w:val="auto"/>
          <w:sz w:val="28"/>
          <w:szCs w:val="28"/>
          <w:lang w:val="en-US" w:eastAsia="zh-CN"/>
        </w:rPr>
        <w:t>1</w:t>
      </w:r>
      <w:r>
        <w:rPr>
          <w:rFonts w:hint="default" w:ascii="Times New Roman" w:hAnsi="Times New Roman" w:eastAsia="仿宋" w:cs="Times New Roman"/>
          <w:b/>
          <w:bCs/>
          <w:color w:val="auto"/>
          <w:sz w:val="28"/>
          <w:szCs w:val="28"/>
        </w:rPr>
        <w:t xml:space="preserve"> </w:t>
      </w:r>
      <w:r>
        <w:rPr>
          <w:rFonts w:hint="eastAsia" w:ascii="Times New Roman" w:hAnsi="Times New Roman" w:eastAsia="仿宋" w:cs="Times New Roman"/>
          <w:b/>
          <w:bCs/>
          <w:color w:val="auto"/>
          <w:sz w:val="28"/>
          <w:szCs w:val="28"/>
          <w:lang w:eastAsia="zh-CN"/>
        </w:rPr>
        <w:t>泄露</w:t>
      </w:r>
      <w:r>
        <w:rPr>
          <w:rFonts w:hint="default" w:ascii="Times New Roman" w:hAnsi="Times New Roman" w:eastAsia="仿宋" w:cs="Times New Roman"/>
          <w:b/>
          <w:bCs/>
          <w:color w:val="auto"/>
          <w:sz w:val="28"/>
          <w:szCs w:val="28"/>
        </w:rPr>
        <w:t>事故环境影响危害后果分析</w:t>
      </w:r>
      <w:bookmarkEnd w:id="81"/>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bookmarkStart w:id="82" w:name="_Toc133892829"/>
      <w:bookmarkStart w:id="83" w:name="_Toc131299239"/>
      <w:r>
        <w:rPr>
          <w:rFonts w:hint="eastAsia" w:ascii="Times New Roman" w:hAnsi="Times New Roman" w:eastAsia="仿宋" w:cs="Times New Roman"/>
          <w:color w:val="auto"/>
          <w:sz w:val="28"/>
          <w:szCs w:val="28"/>
          <w:lang w:val="en-US" w:eastAsia="zh-CN"/>
        </w:rPr>
        <w:t>易燃物质丙烯酸泄漏引发</w:t>
      </w:r>
      <w:r>
        <w:rPr>
          <w:rFonts w:hint="default" w:ascii="Times New Roman" w:hAnsi="Times New Roman" w:eastAsia="仿宋" w:cs="Times New Roman"/>
          <w:color w:val="auto"/>
          <w:sz w:val="28"/>
          <w:szCs w:val="28"/>
          <w:lang w:val="en-US" w:eastAsia="zh-CN"/>
        </w:rPr>
        <w:t>环境污染事件</w:t>
      </w:r>
      <w:r>
        <w:rPr>
          <w:rFonts w:hint="eastAsia" w:ascii="Times New Roman" w:hAnsi="Times New Roman" w:eastAsia="仿宋" w:cs="Times New Roman"/>
          <w:color w:val="auto"/>
          <w:sz w:val="28"/>
          <w:szCs w:val="28"/>
          <w:lang w:val="en-US" w:eastAsia="zh-CN"/>
        </w:rPr>
        <w:t>，其泄露对环境影响的危害后果预测采用</w:t>
      </w:r>
      <w:r>
        <w:rPr>
          <w:rFonts w:hint="default" w:ascii="Times New Roman" w:hAnsi="Times New Roman" w:eastAsia="仿宋" w:cs="Times New Roman"/>
          <w:color w:val="auto"/>
          <w:sz w:val="28"/>
          <w:szCs w:val="28"/>
          <w:lang w:val="en-US" w:eastAsia="zh-CN"/>
        </w:rPr>
        <w:t>烟团模式</w:t>
      </w:r>
      <w:r>
        <w:rPr>
          <w:rFonts w:hint="eastAsia" w:ascii="Times New Roman" w:hAnsi="Times New Roman" w:eastAsia="仿宋" w:cs="Times New Roman"/>
          <w:color w:val="auto"/>
          <w:sz w:val="28"/>
          <w:szCs w:val="28"/>
          <w:lang w:val="en-US" w:eastAsia="zh-CN"/>
        </w:rPr>
        <w:t>计算。</w:t>
      </w:r>
    </w:p>
    <w:p>
      <w:pPr>
        <w:widowControl w:val="0"/>
        <w:wordWrap/>
        <w:adjustRightInd/>
        <w:snapToGrid w:val="0"/>
        <w:spacing w:beforeLines="50" w:afterLines="50" w:line="240" w:lineRule="auto"/>
        <w:ind w:firstLine="560" w:firstLineChars="20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（1）预测模式</w:t>
      </w:r>
      <w:bookmarkEnd w:id="82"/>
      <w:bookmarkEnd w:id="83"/>
    </w:p>
    <w:p>
      <w:pPr>
        <w:widowControl w:val="0"/>
        <w:wordWrap/>
        <w:adjustRightInd/>
        <w:snapToGrid w:val="0"/>
        <w:spacing w:line="240" w:lineRule="auto"/>
        <w:ind w:firstLine="560" w:firstLineChars="20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有害物质在大气中的扩散，采用多烟团模式或分段烟羽模式等计算。在事故后果评价中采用下列烟团公式：</w:t>
      </w:r>
    </w:p>
    <w:p>
      <w:pPr>
        <w:widowControl w:val="0"/>
        <w:wordWrap/>
        <w:adjustRightInd/>
        <w:snapToGrid w:val="0"/>
        <w:spacing w:line="240" w:lineRule="auto"/>
        <w:ind w:firstLine="560" w:firstLineChars="20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kern w:val="2"/>
          <w:sz w:val="28"/>
          <w:szCs w:val="28"/>
          <w:lang w:val="en-US" w:eastAsia="zh-CN" w:bidi="ar-SA"/>
        </w:rPr>
        <w:object>
          <v:shape id="_x0000_i1026" o:spt="75" type="#_x0000_t75" style="height:41pt;width:218.5pt;" o:ole="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o:OLEObject Type="Embed" ProgID="Equation.3" ShapeID="_x0000_i1026" DrawAspect="Content" ObjectID="_1468075726" r:id="rId20">
            <o:LockedField>false</o:LockedField>
          </o:OLEObject>
        </w:object>
      </w:r>
      <w:r>
        <w:rPr>
          <w:rFonts w:hint="default" w:ascii="Times New Roman" w:hAnsi="Times New Roman" w:eastAsia="仿宋" w:cs="Times New Roman"/>
          <w:color w:val="auto"/>
          <w:kern w:val="2"/>
          <w:sz w:val="28"/>
          <w:szCs w:val="28"/>
          <w:lang w:val="en-US" w:eastAsia="zh-CN" w:bidi="ar-SA"/>
        </w:rPr>
        <w:object>
          <v:shape id="_x0000_i1027" o:spt="75" type="#_x0000_t75" style="height:41.85pt;width:147.35pt;" o:ole="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o:OLEObject Type="Embed" ProgID="Equation.3" ShapeID="_x0000_i1027" DrawAspect="Content" ObjectID="_1468075727" r:id="rId22">
            <o:LockedField>false</o:LockedField>
          </o:OLEObject>
        </w:object>
      </w:r>
    </w:p>
    <w:p>
      <w:pPr>
        <w:widowControl w:val="0"/>
        <w:wordWrap/>
        <w:adjustRightInd/>
        <w:snapToGrid w:val="0"/>
        <w:spacing w:line="240" w:lineRule="auto"/>
        <w:ind w:firstLine="560" w:firstLineChars="20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式中：</w:t>
      </w:r>
    </w:p>
    <w:p>
      <w:pPr>
        <w:widowControl w:val="0"/>
        <w:wordWrap/>
        <w:adjustRightInd/>
        <w:snapToGrid w:val="0"/>
        <w:spacing w:line="240" w:lineRule="auto"/>
        <w:ind w:firstLine="560" w:firstLineChars="20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C</w:t>
      </w:r>
      <w:r>
        <w:rPr>
          <w:rFonts w:hint="default" w:ascii="Times New Roman" w:hAnsi="Times New Roman" w:eastAsia="仿宋" w:cs="Times New Roman"/>
          <w:color w:val="auto"/>
          <w:kern w:val="2"/>
          <w:sz w:val="28"/>
          <w:szCs w:val="28"/>
          <w:lang w:val="en-US" w:eastAsia="zh-CN" w:bidi="ar-SA"/>
        </w:rPr>
        <w:object>
          <v:shape id="_x0000_i1028" o:spt="75" type="#_x0000_t75" style="height:18.4pt;width:36.85pt;" o:ole="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o:OLEObject Type="Embed" ProgID="Equation.3" ShapeID="_x0000_i1028" DrawAspect="Content" ObjectID="_1468075728" r:id="rId24">
            <o:LockedField>false</o:LockedField>
          </o:OLEObject>
        </w:object>
      </w:r>
      <w:r>
        <w:rPr>
          <w:rFonts w:hint="default" w:ascii="Times New Roman" w:hAnsi="Times New Roman" w:eastAsia="仿宋" w:cs="Times New Roman"/>
          <w:color w:val="auto"/>
          <w:sz w:val="28"/>
          <w:szCs w:val="28"/>
          <w:lang w:val="en-US" w:eastAsia="zh-CN"/>
        </w:rPr>
        <w:t>--下风向地面</w:t>
      </w:r>
      <w:r>
        <w:rPr>
          <w:rFonts w:hint="default" w:ascii="Times New Roman" w:hAnsi="Times New Roman" w:eastAsia="仿宋" w:cs="Times New Roman"/>
          <w:color w:val="auto"/>
          <w:kern w:val="2"/>
          <w:sz w:val="28"/>
          <w:szCs w:val="28"/>
          <w:lang w:val="en-US" w:eastAsia="zh-CN" w:bidi="ar-SA"/>
        </w:rPr>
        <w:object>
          <v:shape id="_x0000_i1029" o:spt="75" type="#_x0000_t75" style="height:18.4pt;width:26.8pt;" o:ole="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o:OLEObject Type="Embed" ProgID="Equation.3" ShapeID="_x0000_i1029" DrawAspect="Content" ObjectID="_1468075729" r:id="rId26">
            <o:LockedField>false</o:LockedField>
          </o:OLEObject>
        </w:object>
      </w:r>
      <w:r>
        <w:rPr>
          <w:rFonts w:hint="default" w:ascii="Times New Roman" w:hAnsi="Times New Roman" w:eastAsia="仿宋" w:cs="Times New Roman"/>
          <w:color w:val="auto"/>
          <w:sz w:val="28"/>
          <w:szCs w:val="28"/>
          <w:lang w:val="en-US" w:eastAsia="zh-CN"/>
        </w:rPr>
        <w:t>坐标处的空气中污染物浓度（mg</w:t>
      </w: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m</w:t>
      </w:r>
      <w:r>
        <w:rPr>
          <w:rFonts w:hint="default" w:ascii="Times New Roman" w:hAnsi="Times New Roman" w:eastAsia="仿宋" w:cs="Times New Roman"/>
          <w:color w:val="auto"/>
          <w:sz w:val="28"/>
          <w:szCs w:val="28"/>
          <w:vertAlign w:val="superscript"/>
          <w:lang w:val="en-US" w:eastAsia="zh-CN"/>
        </w:rPr>
        <w:t>3</w:t>
      </w:r>
      <w:r>
        <w:rPr>
          <w:rFonts w:hint="default" w:ascii="Times New Roman" w:hAnsi="Times New Roman" w:eastAsia="仿宋" w:cs="Times New Roman"/>
          <w:color w:val="auto"/>
          <w:sz w:val="28"/>
          <w:szCs w:val="28"/>
          <w:lang w:val="en-US" w:eastAsia="zh-CN"/>
        </w:rPr>
        <w:t>）；</w:t>
      </w:r>
    </w:p>
    <w:p>
      <w:pPr>
        <w:widowControl w:val="0"/>
        <w:wordWrap/>
        <w:adjustRightInd/>
        <w:snapToGrid w:val="0"/>
        <w:spacing w:line="240" w:lineRule="auto"/>
        <w:ind w:firstLine="560" w:firstLineChars="20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kern w:val="2"/>
          <w:sz w:val="28"/>
          <w:szCs w:val="28"/>
          <w:lang w:val="en-US" w:eastAsia="zh-CN" w:bidi="ar-SA"/>
        </w:rPr>
        <w:object>
          <v:shape id="_x0000_i1030" o:spt="75" type="#_x0000_t75" style="height:15.9pt;width:45.2pt;" o:ole="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o:OLEObject Type="Embed" ProgID="Equation.3" ShapeID="_x0000_i1030" DrawAspect="Content" ObjectID="_1468075730" r:id="rId28">
            <o:LockedField>false</o:LockedField>
          </o:OLEObject>
        </w:object>
      </w:r>
      <w:r>
        <w:rPr>
          <w:rFonts w:hint="default" w:ascii="Times New Roman" w:hAnsi="Times New Roman" w:eastAsia="仿宋" w:cs="Times New Roman"/>
          <w:color w:val="auto"/>
          <w:sz w:val="28"/>
          <w:szCs w:val="28"/>
          <w:lang w:val="en-US" w:eastAsia="zh-CN"/>
        </w:rPr>
        <w:t>--烟团中心坐标；</w:t>
      </w:r>
    </w:p>
    <w:p>
      <w:pPr>
        <w:widowControl w:val="0"/>
        <w:wordWrap/>
        <w:adjustRightInd/>
        <w:snapToGrid w:val="0"/>
        <w:spacing w:line="240" w:lineRule="auto"/>
        <w:ind w:firstLine="560" w:firstLineChars="20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Q--事故期间烟团的排放量；</w:t>
      </w:r>
    </w:p>
    <w:p>
      <w:pPr>
        <w:widowControl w:val="0"/>
        <w:wordWrap/>
        <w:adjustRightInd/>
        <w:snapToGrid w:val="0"/>
        <w:spacing w:line="240" w:lineRule="auto"/>
        <w:ind w:firstLine="560" w:firstLineChars="20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σ</w:t>
      </w:r>
      <w:r>
        <w:rPr>
          <w:rFonts w:hint="eastAsia" w:ascii="Times New Roman" w:hAnsi="Times New Roman" w:eastAsia="仿宋" w:cs="Times New Roman"/>
          <w:color w:val="auto"/>
          <w:sz w:val="28"/>
          <w:szCs w:val="28"/>
          <w:vertAlign w:val="subscript"/>
          <w:lang w:val="en-US" w:eastAsia="zh-CN"/>
        </w:rPr>
        <w:t>x</w:t>
      </w:r>
      <w:r>
        <w:rPr>
          <w:rFonts w:hint="default" w:ascii="Times New Roman" w:hAnsi="Times New Roman" w:eastAsia="仿宋" w:cs="Times New Roman"/>
          <w:color w:val="auto"/>
          <w:sz w:val="28"/>
          <w:szCs w:val="28"/>
          <w:lang w:val="en-US" w:eastAsia="zh-CN"/>
        </w:rPr>
        <w:t>、σ</w:t>
      </w:r>
      <w:r>
        <w:rPr>
          <w:rFonts w:hint="default" w:ascii="Times New Roman" w:hAnsi="Times New Roman" w:eastAsia="仿宋" w:cs="Times New Roman"/>
          <w:color w:val="auto"/>
          <w:sz w:val="28"/>
          <w:szCs w:val="28"/>
          <w:vertAlign w:val="subscript"/>
          <w:lang w:val="en-US" w:eastAsia="zh-CN"/>
        </w:rPr>
        <w:t>y</w:t>
      </w:r>
      <w:r>
        <w:rPr>
          <w:rFonts w:hint="default" w:ascii="Times New Roman" w:hAnsi="Times New Roman" w:eastAsia="仿宋" w:cs="Times New Roman"/>
          <w:color w:val="auto"/>
          <w:sz w:val="28"/>
          <w:szCs w:val="28"/>
          <w:lang w:val="en-US" w:eastAsia="zh-CN"/>
        </w:rPr>
        <w:t>、σ</w:t>
      </w:r>
      <w:r>
        <w:rPr>
          <w:rFonts w:hint="default" w:ascii="Times New Roman" w:hAnsi="Times New Roman" w:eastAsia="仿宋" w:cs="Times New Roman"/>
          <w:color w:val="auto"/>
          <w:sz w:val="28"/>
          <w:szCs w:val="28"/>
          <w:vertAlign w:val="subscript"/>
          <w:lang w:val="en-US" w:eastAsia="zh-CN"/>
        </w:rPr>
        <w:t>z</w:t>
      </w:r>
      <w:r>
        <w:rPr>
          <w:rFonts w:hint="default" w:ascii="Times New Roman" w:hAnsi="Times New Roman" w:eastAsia="仿宋" w:cs="Times New Roman"/>
          <w:color w:val="auto"/>
          <w:sz w:val="28"/>
          <w:szCs w:val="28"/>
          <w:lang w:val="en-US" w:eastAsia="zh-CN"/>
        </w:rPr>
        <w:t>——为X、Y、Z方向的扩散参数（m）。常取σ</w:t>
      </w:r>
      <w:r>
        <w:rPr>
          <w:rFonts w:hint="eastAsia" w:ascii="Times New Roman" w:hAnsi="Times New Roman" w:eastAsia="仿宋" w:cs="Times New Roman"/>
          <w:color w:val="auto"/>
          <w:sz w:val="28"/>
          <w:szCs w:val="28"/>
          <w:vertAlign w:val="subscript"/>
          <w:lang w:val="en-US" w:eastAsia="zh-CN"/>
        </w:rPr>
        <w:t>x</w:t>
      </w:r>
      <w:r>
        <w:rPr>
          <w:rFonts w:hint="default" w:ascii="Times New Roman" w:hAnsi="Times New Roman" w:eastAsia="仿宋" w:cs="Times New Roman"/>
          <w:color w:val="auto"/>
          <w:sz w:val="28"/>
          <w:szCs w:val="28"/>
          <w:lang w:val="en-US" w:eastAsia="zh-CN"/>
        </w:rPr>
        <w:t xml:space="preserve"> =σy</w:t>
      </w:r>
    </w:p>
    <w:p>
      <w:pPr>
        <w:widowControl w:val="0"/>
        <w:wordWrap/>
        <w:adjustRightInd/>
        <w:snapToGrid w:val="0"/>
        <w:spacing w:line="240" w:lineRule="auto"/>
        <w:ind w:firstLine="560" w:firstLineChars="20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各个烟团对某个关心点t小时的浓度贡献，按下式计算：</w:t>
      </w:r>
    </w:p>
    <w:p>
      <w:pPr>
        <w:widowControl w:val="0"/>
        <w:wordWrap/>
        <w:adjustRightInd/>
        <w:snapToGrid w:val="0"/>
        <w:spacing w:line="240" w:lineRule="auto"/>
        <w:ind w:firstLine="560" w:firstLineChars="20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kern w:val="2"/>
          <w:sz w:val="28"/>
          <w:szCs w:val="28"/>
          <w:lang w:val="en-US" w:eastAsia="zh-CN" w:bidi="ar-SA"/>
        </w:rPr>
        <w:object>
          <v:shape id="_x0000_i1031" o:spt="75" type="#_x0000_t75" style="height:36.85pt;width:139pt;" o:ole="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o:OLEObject Type="Embed" ProgID="" ShapeID="_x0000_i1031" DrawAspect="Content" ObjectID="_1468075731" r:id="rId30">
            <o:LockedField>false</o:LockedField>
          </o:OLEObject>
        </w:object>
      </w:r>
    </w:p>
    <w:p>
      <w:pPr>
        <w:widowControl w:val="0"/>
        <w:wordWrap/>
        <w:adjustRightInd/>
        <w:snapToGrid w:val="0"/>
        <w:spacing w:line="240" w:lineRule="auto"/>
        <w:ind w:firstLine="560" w:firstLineChars="20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式中n为需要跟踪的烟团数。计算中扩散参数采用Slade推荐的烟团扩散参数。</w:t>
      </w:r>
    </w:p>
    <w:p>
      <w:pPr>
        <w:widowControl w:val="0"/>
        <w:wordWrap/>
        <w:adjustRightInd/>
        <w:snapToGrid w:val="0"/>
        <w:spacing w:beforeLines="50" w:afterLines="50" w:line="240" w:lineRule="auto"/>
        <w:ind w:firstLine="560" w:firstLineChars="20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（2）气象条件的选取</w:t>
      </w:r>
    </w:p>
    <w:p>
      <w:pPr>
        <w:widowControl w:val="0"/>
        <w:wordWrap/>
        <w:adjustRightInd/>
        <w:snapToGrid w:val="0"/>
        <w:spacing w:line="240" w:lineRule="auto"/>
        <w:ind w:firstLine="560" w:firstLineChars="20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气象条件选取该地区主导风向、不同风速、不同稳定度事故排放对环境的影响。气象条件的选取依据全年最大出现概率原则。有风时大气稳定度取D类，静小风时稳定度取E；有风时选取风速3.2m/s，静小风时选取风速1.0m/s。</w:t>
      </w:r>
    </w:p>
    <w:p>
      <w:pPr>
        <w:widowControl w:val="0"/>
        <w:wordWrap/>
        <w:adjustRightInd/>
        <w:snapToGrid w:val="0"/>
        <w:spacing w:beforeLines="50" w:afterLines="50" w:line="240" w:lineRule="auto"/>
        <w:ind w:firstLine="560" w:firstLineChars="200"/>
        <w:textAlignment w:val="auto"/>
        <w:rPr>
          <w:rFonts w:hint="default"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val="en-US" w:eastAsia="zh-CN"/>
        </w:rPr>
        <w:t>预测结果</w:t>
      </w:r>
    </w:p>
    <w:p>
      <w:pPr>
        <w:widowControl w:val="0"/>
        <w:wordWrap/>
        <w:adjustRightInd/>
        <w:snapToGrid w:val="0"/>
        <w:spacing w:line="240" w:lineRule="auto"/>
        <w:ind w:firstLine="560" w:firstLineChars="20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考虑</w:t>
      </w:r>
      <w:r>
        <w:rPr>
          <w:rFonts w:hint="eastAsia" w:ascii="Times New Roman" w:hAnsi="Times New Roman" w:eastAsia="仿宋" w:cs="Times New Roman"/>
          <w:color w:val="auto"/>
          <w:sz w:val="28"/>
          <w:szCs w:val="28"/>
          <w:lang w:val="en-US" w:eastAsia="zh-CN"/>
        </w:rPr>
        <w:t>反应釜</w:t>
      </w:r>
      <w:r>
        <w:rPr>
          <w:rFonts w:hint="default" w:ascii="Times New Roman" w:hAnsi="Times New Roman" w:eastAsia="仿宋" w:cs="Times New Roman"/>
          <w:color w:val="auto"/>
          <w:sz w:val="28"/>
          <w:szCs w:val="28"/>
          <w:lang w:val="en-US" w:eastAsia="zh-CN"/>
        </w:rPr>
        <w:t>泄漏挥发为污染源项。假设事故主要造成大气环境污染，使用大气扩散模型计算</w:t>
      </w:r>
      <w:r>
        <w:rPr>
          <w:rFonts w:hint="eastAsia" w:ascii="Times New Roman" w:hAnsi="Times New Roman" w:eastAsia="仿宋" w:cs="Times New Roman"/>
          <w:color w:val="auto"/>
          <w:sz w:val="28"/>
          <w:szCs w:val="28"/>
          <w:lang w:val="en-US" w:eastAsia="zh-CN"/>
        </w:rPr>
        <w:t>反应釜</w:t>
      </w:r>
      <w:r>
        <w:rPr>
          <w:rFonts w:hint="default" w:ascii="Times New Roman" w:hAnsi="Times New Roman" w:eastAsia="仿宋" w:cs="Times New Roman"/>
          <w:color w:val="auto"/>
          <w:sz w:val="28"/>
          <w:szCs w:val="28"/>
          <w:lang w:val="en-US" w:eastAsia="zh-CN"/>
        </w:rPr>
        <w:t>泄漏假设事故排放造成下风向污染物浓度分布和超标距离。评价标准按国家职业卫生标准《工作场所有害因素职业接触限值》GBZ-2002中短时间接触容许浓度执行。</w:t>
      </w:r>
    </w:p>
    <w:p>
      <w:pPr>
        <w:widowControl w:val="0"/>
        <w:wordWrap/>
        <w:adjustRightInd/>
        <w:snapToGrid w:val="0"/>
        <w:spacing w:line="240" w:lineRule="auto"/>
        <w:ind w:firstLine="560" w:firstLineChars="200"/>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采用高斯烟团模式，计算不同稳定度不同风速下的丙烯酸事故预测结果见表4.</w:t>
      </w:r>
      <w:r>
        <w:rPr>
          <w:rFonts w:hint="eastAsia" w:ascii="Times New Roman" w:hAnsi="Times New Roman" w:eastAsia="仿宋" w:cs="Times New Roman"/>
          <w:color w:val="auto"/>
          <w:sz w:val="28"/>
          <w:szCs w:val="28"/>
          <w:lang w:val="en-US" w:eastAsia="zh-CN"/>
        </w:rPr>
        <w:t>4</w:t>
      </w:r>
      <w:r>
        <w:rPr>
          <w:rFonts w:hint="default" w:ascii="Times New Roman" w:hAnsi="Times New Roman" w:eastAsia="仿宋" w:cs="Times New Roman"/>
          <w:color w:val="auto"/>
          <w:sz w:val="28"/>
          <w:szCs w:val="28"/>
          <w:lang w:val="en-US" w:eastAsia="zh-CN"/>
        </w:rPr>
        <w:t>-1。</w:t>
      </w:r>
    </w:p>
    <w:p>
      <w:pPr>
        <w:pStyle w:val="29"/>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9"/>
        <w:jc w:val="center"/>
        <w:rPr>
          <w:rFonts w:hint="default" w:ascii="Times New Roman" w:hAnsi="Times New Roman" w:eastAsia="仿宋" w:cs="Times New Roman"/>
          <w:b/>
          <w:bCs/>
          <w:color w:val="auto"/>
          <w:sz w:val="24"/>
          <w:szCs w:val="24"/>
          <w:vertAlign w:val="superscript"/>
          <w:lang w:val="en-US" w:eastAsia="zh-CN"/>
        </w:rPr>
      </w:pPr>
      <w:r>
        <w:rPr>
          <w:rFonts w:hint="default" w:ascii="Times New Roman" w:hAnsi="Times New Roman" w:eastAsia="仿宋" w:cs="Times New Roman"/>
          <w:b/>
          <w:bCs/>
          <w:color w:val="auto"/>
          <w:sz w:val="24"/>
          <w:szCs w:val="24"/>
          <w:lang w:val="en-US" w:eastAsia="zh-CN"/>
        </w:rPr>
        <w:t>表4.4-1</w:t>
      </w:r>
      <w:r>
        <w:rPr>
          <w:rFonts w:hint="eastAsia" w:ascii="Times New Roman" w:hAnsi="Times New Roman" w:eastAsia="仿宋" w:cs="Times New Roman"/>
          <w:b/>
          <w:bCs/>
          <w:color w:val="auto"/>
          <w:sz w:val="24"/>
          <w:szCs w:val="24"/>
          <w:lang w:val="en-US" w:eastAsia="zh-CN"/>
        </w:rPr>
        <w:t xml:space="preserve"> </w:t>
      </w:r>
      <w:r>
        <w:rPr>
          <w:rFonts w:hint="default" w:ascii="Times New Roman" w:hAnsi="Times New Roman" w:eastAsia="仿宋" w:cs="Times New Roman"/>
          <w:b/>
          <w:bCs/>
          <w:color w:val="auto"/>
          <w:sz w:val="24"/>
          <w:szCs w:val="24"/>
          <w:lang w:val="en-US" w:eastAsia="zh-CN"/>
        </w:rPr>
        <w:t>丙烯酸泄漏时浓度预测单位：mg/m</w:t>
      </w:r>
      <w:r>
        <w:rPr>
          <w:rFonts w:hint="default" w:ascii="Times New Roman" w:hAnsi="Times New Roman" w:eastAsia="仿宋" w:cs="Times New Roman"/>
          <w:b/>
          <w:bCs/>
          <w:color w:val="auto"/>
          <w:sz w:val="24"/>
          <w:szCs w:val="24"/>
          <w:vertAlign w:val="superscript"/>
          <w:lang w:val="en-US" w:eastAsia="zh-CN"/>
        </w:rPr>
        <w:t>3</w:t>
      </w:r>
    </w:p>
    <w:tbl>
      <w:tblPr>
        <w:tblStyle w:val="21"/>
        <w:tblpPr w:leftFromText="180" w:rightFromText="180" w:vertAnchor="text" w:horzAnchor="page" w:tblpXSpec="center" w:tblpY="178"/>
        <w:tblOverlap w:val="never"/>
        <w:tblW w:w="149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66"/>
        <w:gridCol w:w="1488"/>
        <w:gridCol w:w="1657"/>
        <w:gridCol w:w="1223"/>
        <w:gridCol w:w="2475"/>
        <w:gridCol w:w="1140"/>
        <w:gridCol w:w="2873"/>
        <w:gridCol w:w="683"/>
        <w:gridCol w:w="23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vMerge w:val="restar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下风向距离</w:t>
            </w:r>
            <w:r>
              <w:rPr>
                <w:rStyle w:val="57"/>
                <w:rFonts w:hint="default" w:ascii="Times New Roman" w:hAnsi="Times New Roman" w:eastAsia="仿宋" w:cs="Times New Roman"/>
                <w:color w:val="auto"/>
                <w:sz w:val="21"/>
                <w:szCs w:val="21"/>
                <w:lang w:val="en-US" w:eastAsia="zh-CN"/>
              </w:rPr>
              <w:t>(m)</w:t>
            </w:r>
          </w:p>
        </w:tc>
        <w:tc>
          <w:tcPr>
            <w:tcW w:w="6843" w:type="dxa"/>
            <w:gridSpan w:val="4"/>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有风，</w:t>
            </w:r>
            <w:r>
              <w:rPr>
                <w:rStyle w:val="57"/>
                <w:rFonts w:hint="default" w:ascii="Times New Roman" w:hAnsi="Times New Roman" w:eastAsia="仿宋" w:cs="Times New Roman"/>
                <w:color w:val="auto"/>
                <w:sz w:val="21"/>
                <w:szCs w:val="21"/>
                <w:lang w:val="en-US" w:eastAsia="zh-CN"/>
              </w:rPr>
              <w:t>D</w:t>
            </w:r>
            <w:r>
              <w:rPr>
                <w:rStyle w:val="56"/>
                <w:rFonts w:hint="default" w:ascii="Times New Roman" w:hAnsi="Times New Roman" w:eastAsia="仿宋" w:cs="Times New Roman"/>
                <w:color w:val="auto"/>
                <w:sz w:val="21"/>
                <w:szCs w:val="21"/>
                <w:lang w:val="en-US" w:eastAsia="zh-CN"/>
              </w:rPr>
              <w:t>稳定度</w:t>
            </w:r>
          </w:p>
        </w:tc>
        <w:tc>
          <w:tcPr>
            <w:tcW w:w="7006" w:type="dxa"/>
            <w:gridSpan w:val="4"/>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静小风，</w:t>
            </w:r>
            <w:r>
              <w:rPr>
                <w:rStyle w:val="57"/>
                <w:rFonts w:hint="default" w:ascii="Times New Roman" w:hAnsi="Times New Roman" w:eastAsia="仿宋" w:cs="Times New Roman"/>
                <w:color w:val="auto"/>
                <w:sz w:val="21"/>
                <w:szCs w:val="21"/>
                <w:lang w:val="en-US" w:eastAsia="zh-CN"/>
              </w:rPr>
              <w:t>E</w:t>
            </w:r>
            <w:r>
              <w:rPr>
                <w:rStyle w:val="56"/>
                <w:rFonts w:hint="default" w:ascii="Times New Roman" w:hAnsi="Times New Roman" w:eastAsia="仿宋" w:cs="Times New Roman"/>
                <w:color w:val="auto"/>
                <w:sz w:val="21"/>
                <w:szCs w:val="21"/>
                <w:lang w:val="en-US" w:eastAsia="zh-CN"/>
              </w:rPr>
              <w:t>稳定度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rPr>
            </w:pPr>
          </w:p>
        </w:tc>
        <w:tc>
          <w:tcPr>
            <w:tcW w:w="3145"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top"/>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最大浓度及出现时刻</w:t>
            </w:r>
          </w:p>
        </w:tc>
        <w:tc>
          <w:tcPr>
            <w:tcW w:w="3698" w:type="dxa"/>
            <w:gridSpan w:val="2"/>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top"/>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超标时段</w:t>
            </w:r>
          </w:p>
        </w:tc>
        <w:tc>
          <w:tcPr>
            <w:tcW w:w="7006" w:type="dxa"/>
            <w:gridSpan w:val="4"/>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top"/>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最大浓度及出现时刻超标时段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vMerge w:val="continue"/>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rPr>
            </w:pPr>
          </w:p>
        </w:tc>
        <w:tc>
          <w:tcPr>
            <w:tcW w:w="1488"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top"/>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mg/m</w:t>
            </w:r>
            <w:r>
              <w:rPr>
                <w:rStyle w:val="58"/>
                <w:rFonts w:hint="default" w:ascii="Times New Roman" w:hAnsi="Times New Roman" w:eastAsia="仿宋" w:cs="Times New Roman"/>
                <w:color w:val="auto"/>
                <w:sz w:val="21"/>
                <w:szCs w:val="21"/>
                <w:lang w:val="en-US" w:eastAsia="zh-CN"/>
              </w:rPr>
              <w:t>3</w:t>
            </w:r>
          </w:p>
        </w:tc>
        <w:tc>
          <w:tcPr>
            <w:tcW w:w="165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top"/>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出现时刻</w:t>
            </w:r>
          </w:p>
        </w:tc>
        <w:tc>
          <w:tcPr>
            <w:tcW w:w="12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top"/>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A</w:t>
            </w:r>
            <w:r>
              <w:rPr>
                <w:rStyle w:val="56"/>
                <w:rFonts w:hint="default" w:ascii="Times New Roman" w:hAnsi="Times New Roman" w:eastAsia="仿宋" w:cs="Times New Roman"/>
                <w:color w:val="auto"/>
                <w:sz w:val="21"/>
                <w:szCs w:val="21"/>
                <w:lang w:val="en-US" w:eastAsia="zh-CN"/>
              </w:rPr>
              <w:t>标准</w:t>
            </w:r>
          </w:p>
        </w:tc>
        <w:tc>
          <w:tcPr>
            <w:tcW w:w="24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top"/>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B</w:t>
            </w:r>
            <w:r>
              <w:rPr>
                <w:rStyle w:val="56"/>
                <w:rFonts w:hint="default" w:ascii="Times New Roman" w:hAnsi="Times New Roman" w:eastAsia="仿宋" w:cs="Times New Roman"/>
                <w:color w:val="auto"/>
                <w:sz w:val="21"/>
                <w:szCs w:val="21"/>
                <w:lang w:val="en-US" w:eastAsia="zh-CN"/>
              </w:rPr>
              <w:t>标准</w:t>
            </w:r>
          </w:p>
        </w:tc>
        <w:tc>
          <w:tcPr>
            <w:tcW w:w="114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top"/>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mg/m</w:t>
            </w:r>
            <w:r>
              <w:rPr>
                <w:rStyle w:val="58"/>
                <w:rFonts w:hint="default" w:ascii="Times New Roman" w:hAnsi="Times New Roman" w:eastAsia="仿宋" w:cs="Times New Roman"/>
                <w:color w:val="auto"/>
                <w:sz w:val="21"/>
                <w:szCs w:val="21"/>
                <w:lang w:val="en-US" w:eastAsia="zh-CN"/>
              </w:rPr>
              <w:t>3</w:t>
            </w:r>
          </w:p>
        </w:tc>
        <w:tc>
          <w:tcPr>
            <w:tcW w:w="28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top"/>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出现时刻</w:t>
            </w:r>
          </w:p>
        </w:tc>
        <w:tc>
          <w:tcPr>
            <w:tcW w:w="68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top"/>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A</w:t>
            </w:r>
            <w:r>
              <w:rPr>
                <w:rStyle w:val="56"/>
                <w:rFonts w:hint="default" w:ascii="Times New Roman" w:hAnsi="Times New Roman" w:eastAsia="仿宋" w:cs="Times New Roman"/>
                <w:color w:val="auto"/>
                <w:sz w:val="21"/>
                <w:szCs w:val="21"/>
                <w:lang w:val="en-US" w:eastAsia="zh-CN"/>
              </w:rPr>
              <w:t>标准</w:t>
            </w:r>
          </w:p>
        </w:tc>
        <w:tc>
          <w:tcPr>
            <w:tcW w:w="231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top"/>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B</w:t>
            </w:r>
            <w:r>
              <w:rPr>
                <w:rStyle w:val="56"/>
                <w:rFonts w:hint="default" w:ascii="Times New Roman" w:hAnsi="Times New Roman" w:eastAsia="仿宋" w:cs="Times New Roman"/>
                <w:color w:val="auto"/>
                <w:sz w:val="21"/>
                <w:szCs w:val="21"/>
                <w:lang w:val="en-US" w:eastAsia="zh-CN"/>
              </w:rPr>
              <w:t>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30</w:t>
            </w:r>
          </w:p>
        </w:tc>
        <w:tc>
          <w:tcPr>
            <w:tcW w:w="1488"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0</w:t>
            </w:r>
          </w:p>
        </w:tc>
        <w:tc>
          <w:tcPr>
            <w:tcW w:w="165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0</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0.0</w:t>
            </w:r>
            <w:r>
              <w:rPr>
                <w:rStyle w:val="56"/>
                <w:rFonts w:hint="default" w:ascii="Times New Roman" w:hAnsi="Times New Roman" w:eastAsia="仿宋" w:cs="Times New Roman"/>
                <w:color w:val="auto"/>
                <w:sz w:val="21"/>
                <w:szCs w:val="21"/>
                <w:lang w:val="en-US" w:eastAsia="zh-CN"/>
              </w:rPr>
              <w:t>秒</w:t>
            </w:r>
          </w:p>
        </w:tc>
        <w:tc>
          <w:tcPr>
            <w:tcW w:w="12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top"/>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0</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23.2</w:t>
            </w:r>
            <w:r>
              <w:rPr>
                <w:rStyle w:val="56"/>
                <w:rFonts w:hint="default" w:ascii="Times New Roman" w:hAnsi="Times New Roman" w:eastAsia="仿宋" w:cs="Times New Roman"/>
                <w:color w:val="auto"/>
                <w:sz w:val="21"/>
                <w:szCs w:val="21"/>
                <w:lang w:val="en-US" w:eastAsia="zh-CN"/>
              </w:rPr>
              <w:t>秒・</w:t>
            </w:r>
            <w:r>
              <w:rPr>
                <w:rStyle w:val="57"/>
                <w:rFonts w:hint="default" w:ascii="Times New Roman" w:hAnsi="Times New Roman" w:eastAsia="仿宋" w:cs="Times New Roman"/>
                <w:color w:val="auto"/>
                <w:sz w:val="21"/>
                <w:szCs w:val="21"/>
                <w:lang w:val="en-US" w:eastAsia="zh-CN"/>
              </w:rPr>
              <w:t xml:space="preserve">10 </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9.4</w:t>
            </w:r>
            <w:r>
              <w:rPr>
                <w:rStyle w:val="56"/>
                <w:rFonts w:hint="default" w:ascii="Times New Roman" w:hAnsi="Times New Roman" w:eastAsia="仿宋" w:cs="Times New Roman"/>
                <w:color w:val="auto"/>
                <w:sz w:val="21"/>
                <w:szCs w:val="21"/>
                <w:lang w:val="en-US" w:eastAsia="zh-CN"/>
              </w:rPr>
              <w:t>秒</w:t>
            </w:r>
          </w:p>
        </w:tc>
        <w:tc>
          <w:tcPr>
            <w:tcW w:w="24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0</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8.8</w:t>
            </w:r>
            <w:r>
              <w:rPr>
                <w:rStyle w:val="56"/>
                <w:rFonts w:hint="default" w:ascii="Times New Roman" w:hAnsi="Times New Roman" w:eastAsia="仿宋" w:cs="Times New Roman"/>
                <w:color w:val="auto"/>
                <w:sz w:val="21"/>
                <w:szCs w:val="21"/>
                <w:lang w:val="en-US" w:eastAsia="zh-CN"/>
              </w:rPr>
              <w:t>秒-</w:t>
            </w:r>
            <w:r>
              <w:rPr>
                <w:rStyle w:val="57"/>
                <w:rFonts w:hint="default" w:ascii="Times New Roman" w:hAnsi="Times New Roman" w:eastAsia="仿宋" w:cs="Times New Roman"/>
                <w:color w:val="auto"/>
                <w:sz w:val="21"/>
                <w:szCs w:val="21"/>
                <w:lang w:val="en-US" w:eastAsia="zh-CN"/>
              </w:rPr>
              <w:t>10</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13.9</w:t>
            </w:r>
            <w:r>
              <w:rPr>
                <w:rStyle w:val="56"/>
                <w:rFonts w:hint="default" w:ascii="Times New Roman" w:hAnsi="Times New Roman" w:eastAsia="仿宋" w:cs="Times New Roman"/>
                <w:color w:val="auto"/>
                <w:sz w:val="21"/>
                <w:szCs w:val="21"/>
                <w:lang w:val="en-US" w:eastAsia="zh-CN"/>
              </w:rPr>
              <w:t>秒</w:t>
            </w:r>
          </w:p>
        </w:tc>
        <w:tc>
          <w:tcPr>
            <w:tcW w:w="114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431.5036</w:t>
            </w:r>
          </w:p>
        </w:tc>
        <w:tc>
          <w:tcPr>
            <w:tcW w:w="28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9</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55.4</w:t>
            </w:r>
            <w:r>
              <w:rPr>
                <w:rStyle w:val="56"/>
                <w:rFonts w:hint="default" w:ascii="Times New Roman" w:hAnsi="Times New Roman" w:eastAsia="仿宋" w:cs="Times New Roman"/>
                <w:color w:val="auto"/>
                <w:sz w:val="21"/>
                <w:szCs w:val="21"/>
                <w:lang w:val="en-US" w:eastAsia="zh-CN"/>
              </w:rPr>
              <w:t>秒</w:t>
            </w:r>
          </w:p>
        </w:tc>
        <w:tc>
          <w:tcPr>
            <w:tcW w:w="68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400"/>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w:t>
            </w:r>
          </w:p>
        </w:tc>
        <w:tc>
          <w:tcPr>
            <w:tcW w:w="231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0</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9.4</w:t>
            </w:r>
            <w:r>
              <w:rPr>
                <w:rStyle w:val="56"/>
                <w:rFonts w:hint="default" w:ascii="Times New Roman" w:hAnsi="Times New Roman" w:eastAsia="仿宋" w:cs="Times New Roman"/>
                <w:color w:val="auto"/>
                <w:sz w:val="21"/>
                <w:szCs w:val="21"/>
                <w:lang w:val="en-US" w:eastAsia="zh-CN"/>
              </w:rPr>
              <w:t>秒・</w:t>
            </w:r>
            <w:r>
              <w:rPr>
                <w:rStyle w:val="57"/>
                <w:rFonts w:hint="default" w:ascii="Times New Roman" w:hAnsi="Times New Roman" w:eastAsia="仿宋" w:cs="Times New Roman"/>
                <w:color w:val="auto"/>
                <w:sz w:val="21"/>
                <w:szCs w:val="21"/>
                <w:lang w:val="en-US" w:eastAsia="zh-CN"/>
              </w:rPr>
              <w:t>13</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14.2</w:t>
            </w:r>
            <w:r>
              <w:rPr>
                <w:rStyle w:val="56"/>
                <w:rFonts w:hint="default" w:ascii="Times New Roman" w:hAnsi="Times New Roman" w:eastAsia="仿宋" w:cs="Times New Roman"/>
                <w:color w:val="auto"/>
                <w:sz w:val="21"/>
                <w:szCs w:val="21"/>
                <w:lang w:val="en-US" w:eastAsia="zh-CN"/>
              </w:rPr>
              <w:t>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100</w:t>
            </w:r>
          </w:p>
        </w:tc>
        <w:tc>
          <w:tcPr>
            <w:tcW w:w="1488"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1,481.92</w:t>
            </w:r>
          </w:p>
        </w:tc>
        <w:tc>
          <w:tcPr>
            <w:tcW w:w="165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0</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26.3</w:t>
            </w:r>
            <w:r>
              <w:rPr>
                <w:rStyle w:val="56"/>
                <w:rFonts w:hint="default" w:ascii="Times New Roman" w:hAnsi="Times New Roman" w:eastAsia="仿宋" w:cs="Times New Roman"/>
                <w:color w:val="auto"/>
                <w:sz w:val="21"/>
                <w:szCs w:val="21"/>
                <w:lang w:val="en-US" w:eastAsia="zh-CN"/>
              </w:rPr>
              <w:t>秒</w:t>
            </w:r>
          </w:p>
        </w:tc>
        <w:tc>
          <w:tcPr>
            <w:tcW w:w="12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w:t>
            </w:r>
          </w:p>
        </w:tc>
        <w:tc>
          <w:tcPr>
            <w:tcW w:w="24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0</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38.1</w:t>
            </w:r>
            <w:r>
              <w:rPr>
                <w:rStyle w:val="56"/>
                <w:rFonts w:hint="default" w:ascii="Times New Roman" w:hAnsi="Times New Roman" w:eastAsia="仿宋" w:cs="Times New Roman"/>
                <w:color w:val="auto"/>
                <w:sz w:val="21"/>
                <w:szCs w:val="21"/>
                <w:lang w:val="en-US" w:eastAsia="zh-CN"/>
              </w:rPr>
              <w:t>秒-</w:t>
            </w:r>
            <w:r>
              <w:rPr>
                <w:rStyle w:val="57"/>
                <w:rFonts w:hint="default" w:ascii="Times New Roman" w:hAnsi="Times New Roman" w:eastAsia="仿宋" w:cs="Times New Roman"/>
                <w:color w:val="auto"/>
                <w:sz w:val="21"/>
                <w:szCs w:val="21"/>
                <w:lang w:val="en-US" w:eastAsia="zh-CN"/>
              </w:rPr>
              <w:t>11</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0.9</w:t>
            </w:r>
            <w:r>
              <w:rPr>
                <w:rStyle w:val="56"/>
                <w:rFonts w:hint="default" w:ascii="Times New Roman" w:hAnsi="Times New Roman" w:eastAsia="仿宋" w:cs="Times New Roman"/>
                <w:color w:val="auto"/>
                <w:sz w:val="21"/>
                <w:szCs w:val="21"/>
                <w:lang w:val="en-US" w:eastAsia="zh-CN"/>
              </w:rPr>
              <w:t>秒</w:t>
            </w:r>
          </w:p>
        </w:tc>
        <w:tc>
          <w:tcPr>
            <w:tcW w:w="114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119.1762</w:t>
            </w:r>
          </w:p>
        </w:tc>
        <w:tc>
          <w:tcPr>
            <w:tcW w:w="28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10</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13.5</w:t>
            </w:r>
            <w:r>
              <w:rPr>
                <w:rStyle w:val="56"/>
                <w:rFonts w:hint="default" w:ascii="Times New Roman" w:hAnsi="Times New Roman" w:eastAsia="仿宋" w:cs="Times New Roman"/>
                <w:color w:val="auto"/>
                <w:sz w:val="21"/>
                <w:szCs w:val="21"/>
                <w:lang w:val="en-US" w:eastAsia="zh-CN"/>
              </w:rPr>
              <w:t>秒</w:t>
            </w:r>
          </w:p>
        </w:tc>
        <w:tc>
          <w:tcPr>
            <w:tcW w:w="68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400"/>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231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0</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22.1</w:t>
            </w:r>
            <w:r>
              <w:rPr>
                <w:rStyle w:val="56"/>
                <w:rFonts w:hint="default" w:ascii="Times New Roman" w:hAnsi="Times New Roman" w:eastAsia="仿宋" w:cs="Times New Roman"/>
                <w:color w:val="auto"/>
                <w:sz w:val="21"/>
                <w:szCs w:val="21"/>
                <w:lang w:val="en-US" w:eastAsia="zh-CN"/>
              </w:rPr>
              <w:t>秒</w:t>
            </w:r>
            <w:r>
              <w:rPr>
                <w:rStyle w:val="57"/>
                <w:rFonts w:hint="default" w:ascii="Times New Roman" w:hAnsi="Times New Roman" w:eastAsia="仿宋" w:cs="Times New Roman"/>
                <w:color w:val="auto"/>
                <w:sz w:val="21"/>
                <w:szCs w:val="21"/>
                <w:lang w:val="en-US" w:eastAsia="zh-CN"/>
              </w:rPr>
              <w:t>-13</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12.2</w:t>
            </w:r>
            <w:r>
              <w:rPr>
                <w:rStyle w:val="56"/>
                <w:rFonts w:hint="default" w:ascii="Times New Roman" w:hAnsi="Times New Roman" w:eastAsia="仿宋" w:cs="Times New Roman"/>
                <w:color w:val="auto"/>
                <w:sz w:val="21"/>
                <w:szCs w:val="21"/>
                <w:lang w:val="en-US" w:eastAsia="zh-CN"/>
              </w:rPr>
              <w:t>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200</w:t>
            </w:r>
          </w:p>
        </w:tc>
        <w:tc>
          <w:tcPr>
            <w:tcW w:w="1488"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200"/>
              <w:jc w:val="both"/>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174.036</w:t>
            </w:r>
          </w:p>
        </w:tc>
        <w:tc>
          <w:tcPr>
            <w:tcW w:w="165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1</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34.5</w:t>
            </w:r>
            <w:r>
              <w:rPr>
                <w:rStyle w:val="56"/>
                <w:rFonts w:hint="default" w:ascii="Times New Roman" w:hAnsi="Times New Roman" w:eastAsia="仿宋" w:cs="Times New Roman"/>
                <w:color w:val="auto"/>
                <w:sz w:val="21"/>
                <w:szCs w:val="21"/>
                <w:lang w:val="en-US" w:eastAsia="zh-CN"/>
              </w:rPr>
              <w:t>秒</w:t>
            </w:r>
          </w:p>
        </w:tc>
        <w:tc>
          <w:tcPr>
            <w:tcW w:w="12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24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1</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27.8</w:t>
            </w:r>
            <w:r>
              <w:rPr>
                <w:rStyle w:val="56"/>
                <w:rFonts w:hint="default" w:ascii="Times New Roman" w:hAnsi="Times New Roman" w:eastAsia="仿宋" w:cs="Times New Roman"/>
                <w:color w:val="auto"/>
                <w:sz w:val="21"/>
                <w:szCs w:val="21"/>
                <w:lang w:val="en-US" w:eastAsia="zh-CN"/>
              </w:rPr>
              <w:t>秒-</w:t>
            </w:r>
            <w:r>
              <w:rPr>
                <w:rStyle w:val="57"/>
                <w:rFonts w:hint="default" w:ascii="Times New Roman" w:hAnsi="Times New Roman" w:eastAsia="仿宋" w:cs="Times New Roman"/>
                <w:color w:val="auto"/>
                <w:sz w:val="21"/>
                <w:szCs w:val="21"/>
                <w:lang w:val="en-US" w:eastAsia="zh-CN"/>
              </w:rPr>
              <w:t>12</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0.1</w:t>
            </w:r>
            <w:r>
              <w:rPr>
                <w:rStyle w:val="56"/>
                <w:rFonts w:hint="default" w:ascii="Times New Roman" w:hAnsi="Times New Roman" w:eastAsia="仿宋" w:cs="Times New Roman"/>
                <w:color w:val="auto"/>
                <w:sz w:val="21"/>
                <w:szCs w:val="21"/>
                <w:lang w:val="en-US" w:eastAsia="zh-CN"/>
              </w:rPr>
              <w:t>秒</w:t>
            </w:r>
          </w:p>
        </w:tc>
        <w:tc>
          <w:tcPr>
            <w:tcW w:w="114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13.9119</w:t>
            </w:r>
          </w:p>
        </w:tc>
        <w:tc>
          <w:tcPr>
            <w:tcW w:w="28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10</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43.1</w:t>
            </w:r>
            <w:r>
              <w:rPr>
                <w:rStyle w:val="56"/>
                <w:rFonts w:hint="default" w:ascii="Times New Roman" w:hAnsi="Times New Roman" w:eastAsia="仿宋" w:cs="Times New Roman"/>
                <w:color w:val="auto"/>
                <w:sz w:val="21"/>
                <w:szCs w:val="21"/>
                <w:lang w:val="en-US" w:eastAsia="zh-CN"/>
              </w:rPr>
              <w:t>秒</w:t>
            </w:r>
          </w:p>
        </w:tc>
        <w:tc>
          <w:tcPr>
            <w:tcW w:w="68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400"/>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231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2</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16.4</w:t>
            </w:r>
            <w:r>
              <w:rPr>
                <w:rStyle w:val="56"/>
                <w:rFonts w:hint="default" w:ascii="Times New Roman" w:hAnsi="Times New Roman" w:eastAsia="仿宋" w:cs="Times New Roman"/>
                <w:color w:val="auto"/>
                <w:sz w:val="21"/>
                <w:szCs w:val="21"/>
                <w:lang w:val="en-US" w:eastAsia="zh-CN"/>
              </w:rPr>
              <w:t>秒・</w:t>
            </w:r>
            <w:r>
              <w:rPr>
                <w:rStyle w:val="57"/>
                <w:rFonts w:hint="default" w:ascii="Times New Roman" w:hAnsi="Times New Roman" w:eastAsia="仿宋" w:cs="Times New Roman"/>
                <w:color w:val="auto"/>
                <w:sz w:val="21"/>
                <w:szCs w:val="21"/>
                <w:lang w:val="en-US" w:eastAsia="zh-CN"/>
              </w:rPr>
              <w:t>12</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48.7</w:t>
            </w:r>
            <w:r>
              <w:rPr>
                <w:rStyle w:val="56"/>
                <w:rFonts w:hint="default" w:ascii="Times New Roman" w:hAnsi="Times New Roman" w:eastAsia="仿宋" w:cs="Times New Roman"/>
                <w:color w:val="auto"/>
                <w:sz w:val="21"/>
                <w:szCs w:val="21"/>
                <w:lang w:val="en-US" w:eastAsia="zh-CN"/>
              </w:rPr>
              <w:t>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300</w:t>
            </w:r>
          </w:p>
        </w:tc>
        <w:tc>
          <w:tcPr>
            <w:tcW w:w="1488"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58.7848</w:t>
            </w:r>
          </w:p>
        </w:tc>
        <w:tc>
          <w:tcPr>
            <w:tcW w:w="165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3</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20.0</w:t>
            </w:r>
            <w:r>
              <w:rPr>
                <w:rStyle w:val="56"/>
                <w:rFonts w:hint="default" w:ascii="Times New Roman" w:hAnsi="Times New Roman" w:eastAsia="仿宋" w:cs="Times New Roman"/>
                <w:color w:val="auto"/>
                <w:sz w:val="21"/>
                <w:szCs w:val="21"/>
                <w:lang w:val="en-US" w:eastAsia="zh-CN"/>
              </w:rPr>
              <w:t>秒</w:t>
            </w:r>
          </w:p>
        </w:tc>
        <w:tc>
          <w:tcPr>
            <w:tcW w:w="12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w:t>
            </w:r>
          </w:p>
        </w:tc>
        <w:tc>
          <w:tcPr>
            <w:tcW w:w="24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2</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22.4</w:t>
            </w:r>
            <w:r>
              <w:rPr>
                <w:rStyle w:val="56"/>
                <w:rFonts w:hint="default" w:ascii="Times New Roman" w:hAnsi="Times New Roman" w:eastAsia="仿宋" w:cs="Times New Roman"/>
                <w:color w:val="auto"/>
                <w:sz w:val="21"/>
                <w:szCs w:val="21"/>
                <w:lang w:val="en-US" w:eastAsia="zh-CN"/>
              </w:rPr>
              <w:t>秒-</w:t>
            </w:r>
            <w:r>
              <w:rPr>
                <w:rStyle w:val="57"/>
                <w:rFonts w:hint="default" w:ascii="Times New Roman" w:hAnsi="Times New Roman" w:eastAsia="仿宋" w:cs="Times New Roman"/>
                <w:color w:val="auto"/>
                <w:sz w:val="21"/>
                <w:szCs w:val="21"/>
                <w:lang w:val="en-US" w:eastAsia="zh-CN"/>
              </w:rPr>
              <w:t>12</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54.3</w:t>
            </w:r>
            <w:r>
              <w:rPr>
                <w:rStyle w:val="56"/>
                <w:rFonts w:hint="default" w:ascii="Times New Roman" w:hAnsi="Times New Roman" w:eastAsia="仿宋" w:cs="Times New Roman"/>
                <w:color w:val="auto"/>
                <w:sz w:val="21"/>
                <w:szCs w:val="21"/>
                <w:lang w:val="en-US" w:eastAsia="zh-CN"/>
              </w:rPr>
              <w:t>秒</w:t>
            </w:r>
          </w:p>
        </w:tc>
        <w:tc>
          <w:tcPr>
            <w:tcW w:w="114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3.2372</w:t>
            </w:r>
          </w:p>
        </w:tc>
        <w:tc>
          <w:tcPr>
            <w:tcW w:w="28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11</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44.6</w:t>
            </w:r>
            <w:r>
              <w:rPr>
                <w:rStyle w:val="56"/>
                <w:rFonts w:hint="default" w:ascii="Times New Roman" w:hAnsi="Times New Roman" w:eastAsia="仿宋" w:cs="Times New Roman"/>
                <w:color w:val="auto"/>
                <w:sz w:val="21"/>
                <w:szCs w:val="21"/>
                <w:lang w:val="en-US" w:eastAsia="zh-CN"/>
              </w:rPr>
              <w:t>秒</w:t>
            </w:r>
          </w:p>
        </w:tc>
        <w:tc>
          <w:tcPr>
            <w:tcW w:w="68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400"/>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231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400</w:t>
            </w:r>
          </w:p>
        </w:tc>
        <w:tc>
          <w:tcPr>
            <w:tcW w:w="1488"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30.1385</w:t>
            </w:r>
          </w:p>
        </w:tc>
        <w:tc>
          <w:tcPr>
            <w:tcW w:w="165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4</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60.0</w:t>
            </w:r>
            <w:r>
              <w:rPr>
                <w:rStyle w:val="56"/>
                <w:rFonts w:hint="default" w:ascii="Times New Roman" w:hAnsi="Times New Roman" w:eastAsia="仿宋" w:cs="Times New Roman"/>
                <w:color w:val="auto"/>
                <w:sz w:val="21"/>
                <w:szCs w:val="21"/>
                <w:lang w:val="en-US" w:eastAsia="zh-CN"/>
              </w:rPr>
              <w:t>秒</w:t>
            </w:r>
          </w:p>
        </w:tc>
        <w:tc>
          <w:tcPr>
            <w:tcW w:w="12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24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3</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21.5</w:t>
            </w:r>
            <w:r>
              <w:rPr>
                <w:rStyle w:val="56"/>
                <w:rFonts w:hint="default" w:ascii="Times New Roman" w:hAnsi="Times New Roman" w:eastAsia="仿宋" w:cs="Times New Roman"/>
                <w:color w:val="auto"/>
                <w:sz w:val="21"/>
                <w:szCs w:val="21"/>
                <w:lang w:val="en-US" w:eastAsia="zh-CN"/>
              </w:rPr>
              <w:t>秒・</w:t>
            </w:r>
            <w:r>
              <w:rPr>
                <w:rStyle w:val="57"/>
                <w:rFonts w:hint="default" w:ascii="Times New Roman" w:hAnsi="Times New Roman" w:eastAsia="仿宋" w:cs="Times New Roman"/>
                <w:color w:val="auto"/>
                <w:sz w:val="21"/>
                <w:szCs w:val="21"/>
                <w:lang w:val="en-US" w:eastAsia="zh-CN"/>
              </w:rPr>
              <w:t>13</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44.2</w:t>
            </w:r>
            <w:r>
              <w:rPr>
                <w:rStyle w:val="56"/>
                <w:rFonts w:hint="default" w:ascii="Times New Roman" w:hAnsi="Times New Roman" w:eastAsia="仿宋" w:cs="Times New Roman"/>
                <w:color w:val="auto"/>
                <w:sz w:val="21"/>
                <w:szCs w:val="21"/>
                <w:lang w:val="en-US" w:eastAsia="zh-CN"/>
              </w:rPr>
              <w:t>秒</w:t>
            </w:r>
          </w:p>
        </w:tc>
        <w:tc>
          <w:tcPr>
            <w:tcW w:w="114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1.2774</w:t>
            </w:r>
          </w:p>
        </w:tc>
        <w:tc>
          <w:tcPr>
            <w:tcW w:w="28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12</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57.6</w:t>
            </w:r>
            <w:r>
              <w:rPr>
                <w:rStyle w:val="56"/>
                <w:rFonts w:hint="default" w:ascii="Times New Roman" w:hAnsi="Times New Roman" w:eastAsia="仿宋" w:cs="Times New Roman"/>
                <w:color w:val="auto"/>
                <w:sz w:val="21"/>
                <w:szCs w:val="21"/>
                <w:lang w:val="en-US" w:eastAsia="zh-CN"/>
              </w:rPr>
              <w:t>秒</w:t>
            </w:r>
          </w:p>
        </w:tc>
        <w:tc>
          <w:tcPr>
            <w:tcW w:w="68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400"/>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231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500</w:t>
            </w:r>
          </w:p>
        </w:tc>
        <w:tc>
          <w:tcPr>
            <w:tcW w:w="1488"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18.5822</w:t>
            </w:r>
          </w:p>
        </w:tc>
        <w:tc>
          <w:tcPr>
            <w:tcW w:w="165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5</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60.0</w:t>
            </w:r>
            <w:r>
              <w:rPr>
                <w:rStyle w:val="56"/>
                <w:rFonts w:hint="default" w:ascii="Times New Roman" w:hAnsi="Times New Roman" w:eastAsia="仿宋" w:cs="Times New Roman"/>
                <w:color w:val="auto"/>
                <w:sz w:val="21"/>
                <w:szCs w:val="21"/>
                <w:lang w:val="en-US" w:eastAsia="zh-CN"/>
              </w:rPr>
              <w:t>秒</w:t>
            </w:r>
          </w:p>
        </w:tc>
        <w:tc>
          <w:tcPr>
            <w:tcW w:w="12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w:t>
            </w:r>
          </w:p>
        </w:tc>
        <w:tc>
          <w:tcPr>
            <w:tcW w:w="24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4</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25.1</w:t>
            </w:r>
            <w:r>
              <w:rPr>
                <w:rStyle w:val="56"/>
                <w:rFonts w:hint="default" w:ascii="Times New Roman" w:hAnsi="Times New Roman" w:eastAsia="仿宋" w:cs="Times New Roman"/>
                <w:color w:val="auto"/>
                <w:sz w:val="21"/>
                <w:szCs w:val="21"/>
                <w:lang w:val="en-US" w:eastAsia="zh-CN"/>
              </w:rPr>
              <w:t>秒</w:t>
            </w:r>
            <w:r>
              <w:rPr>
                <w:rStyle w:val="57"/>
                <w:rFonts w:hint="default" w:ascii="Times New Roman" w:hAnsi="Times New Roman" w:eastAsia="仿宋" w:cs="Times New Roman"/>
                <w:color w:val="auto"/>
                <w:sz w:val="21"/>
                <w:szCs w:val="21"/>
                <w:lang w:val="en-US" w:eastAsia="zh-CN"/>
              </w:rPr>
              <w:t>-14</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29.4</w:t>
            </w:r>
            <w:r>
              <w:rPr>
                <w:rStyle w:val="56"/>
                <w:rFonts w:hint="default" w:ascii="Times New Roman" w:hAnsi="Times New Roman" w:eastAsia="仿宋" w:cs="Times New Roman"/>
                <w:color w:val="auto"/>
                <w:sz w:val="21"/>
                <w:szCs w:val="21"/>
                <w:lang w:val="en-US" w:eastAsia="zh-CN"/>
              </w:rPr>
              <w:t>秒</w:t>
            </w:r>
          </w:p>
        </w:tc>
        <w:tc>
          <w:tcPr>
            <w:tcW w:w="114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0.6315</w:t>
            </w:r>
          </w:p>
        </w:tc>
        <w:tc>
          <w:tcPr>
            <w:tcW w:w="28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14</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18.9</w:t>
            </w:r>
            <w:r>
              <w:rPr>
                <w:rStyle w:val="56"/>
                <w:rFonts w:hint="default" w:ascii="Times New Roman" w:hAnsi="Times New Roman" w:eastAsia="仿宋" w:cs="Times New Roman"/>
                <w:color w:val="auto"/>
                <w:sz w:val="21"/>
                <w:szCs w:val="21"/>
                <w:lang w:val="en-US" w:eastAsia="zh-CN"/>
              </w:rPr>
              <w:t>秒</w:t>
            </w:r>
          </w:p>
        </w:tc>
        <w:tc>
          <w:tcPr>
            <w:tcW w:w="68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400"/>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231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600</w:t>
            </w:r>
          </w:p>
        </w:tc>
        <w:tc>
          <w:tcPr>
            <w:tcW w:w="1488"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12.718</w:t>
            </w:r>
          </w:p>
        </w:tc>
        <w:tc>
          <w:tcPr>
            <w:tcW w:w="165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7</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30.0</w:t>
            </w:r>
            <w:r>
              <w:rPr>
                <w:rStyle w:val="56"/>
                <w:rFonts w:hint="default" w:ascii="Times New Roman" w:hAnsi="Times New Roman" w:eastAsia="仿宋" w:cs="Times New Roman"/>
                <w:color w:val="auto"/>
                <w:sz w:val="21"/>
                <w:szCs w:val="21"/>
                <w:lang w:val="en-US" w:eastAsia="zh-CN"/>
              </w:rPr>
              <w:t>秒</w:t>
            </w:r>
          </w:p>
        </w:tc>
        <w:tc>
          <w:tcPr>
            <w:tcW w:w="12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w:t>
            </w:r>
          </w:p>
        </w:tc>
        <w:tc>
          <w:tcPr>
            <w:tcW w:w="24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5</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35.0</w:t>
            </w:r>
            <w:r>
              <w:rPr>
                <w:rStyle w:val="56"/>
                <w:rFonts w:hint="default" w:ascii="Times New Roman" w:hAnsi="Times New Roman" w:eastAsia="仿宋" w:cs="Times New Roman"/>
                <w:color w:val="auto"/>
                <w:sz w:val="21"/>
                <w:szCs w:val="21"/>
                <w:lang w:val="en-US" w:eastAsia="zh-CN"/>
              </w:rPr>
              <w:t>秒</w:t>
            </w:r>
            <w:r>
              <w:rPr>
                <w:rStyle w:val="57"/>
                <w:rFonts w:hint="default" w:ascii="Times New Roman" w:hAnsi="Times New Roman" w:eastAsia="仿宋" w:cs="Times New Roman"/>
                <w:color w:val="auto"/>
                <w:sz w:val="21"/>
                <w:szCs w:val="21"/>
                <w:lang w:val="en-US" w:eastAsia="zh-CN"/>
              </w:rPr>
              <w:t>-15</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8.3</w:t>
            </w:r>
            <w:r>
              <w:rPr>
                <w:rStyle w:val="56"/>
                <w:rFonts w:hint="default" w:ascii="Times New Roman" w:hAnsi="Times New Roman" w:eastAsia="仿宋" w:cs="Times New Roman"/>
                <w:color w:val="auto"/>
                <w:sz w:val="21"/>
                <w:szCs w:val="21"/>
                <w:lang w:val="en-US" w:eastAsia="zh-CN"/>
              </w:rPr>
              <w:t>秒</w:t>
            </w:r>
          </w:p>
        </w:tc>
        <w:tc>
          <w:tcPr>
            <w:tcW w:w="114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0.3558</w:t>
            </w:r>
          </w:p>
        </w:tc>
        <w:tc>
          <w:tcPr>
            <w:tcW w:w="28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15</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46.1</w:t>
            </w:r>
            <w:r>
              <w:rPr>
                <w:rStyle w:val="56"/>
                <w:rFonts w:hint="default" w:ascii="Times New Roman" w:hAnsi="Times New Roman" w:eastAsia="仿宋" w:cs="Times New Roman"/>
                <w:color w:val="auto"/>
                <w:sz w:val="21"/>
                <w:szCs w:val="21"/>
                <w:lang w:val="en-US" w:eastAsia="zh-CN"/>
              </w:rPr>
              <w:t>秒</w:t>
            </w:r>
          </w:p>
        </w:tc>
        <w:tc>
          <w:tcPr>
            <w:tcW w:w="68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400"/>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231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700</w:t>
            </w:r>
          </w:p>
        </w:tc>
        <w:tc>
          <w:tcPr>
            <w:tcW w:w="1488"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9.3103</w:t>
            </w:r>
          </w:p>
        </w:tc>
        <w:tc>
          <w:tcPr>
            <w:tcW w:w="165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8</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60.0</w:t>
            </w:r>
            <w:r>
              <w:rPr>
                <w:rStyle w:val="56"/>
                <w:rFonts w:hint="default" w:ascii="Times New Roman" w:hAnsi="Times New Roman" w:eastAsia="仿宋" w:cs="Times New Roman"/>
                <w:color w:val="auto"/>
                <w:sz w:val="21"/>
                <w:szCs w:val="21"/>
                <w:lang w:val="en-US" w:eastAsia="zh-CN"/>
              </w:rPr>
              <w:t>秒</w:t>
            </w:r>
          </w:p>
        </w:tc>
        <w:tc>
          <w:tcPr>
            <w:tcW w:w="12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w:t>
            </w:r>
          </w:p>
        </w:tc>
        <w:tc>
          <w:tcPr>
            <w:tcW w:w="24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6</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57.6</w:t>
            </w:r>
            <w:r>
              <w:rPr>
                <w:rStyle w:val="56"/>
                <w:rFonts w:hint="default" w:ascii="Times New Roman" w:hAnsi="Times New Roman" w:eastAsia="仿宋" w:cs="Times New Roman"/>
                <w:color w:val="auto"/>
                <w:sz w:val="21"/>
                <w:szCs w:val="21"/>
                <w:lang w:val="en-US" w:eastAsia="zh-CN"/>
              </w:rPr>
              <w:t>秒-</w:t>
            </w:r>
            <w:r>
              <w:rPr>
                <w:rStyle w:val="57"/>
                <w:rFonts w:hint="default" w:ascii="Times New Roman" w:hAnsi="Times New Roman" w:eastAsia="仿宋" w:cs="Times New Roman"/>
                <w:color w:val="auto"/>
                <w:sz w:val="21"/>
                <w:szCs w:val="21"/>
                <w:lang w:val="en-US" w:eastAsia="zh-CN"/>
              </w:rPr>
              <w:t>15</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34.7</w:t>
            </w:r>
            <w:r>
              <w:rPr>
                <w:rStyle w:val="56"/>
                <w:rFonts w:hint="default" w:ascii="Times New Roman" w:hAnsi="Times New Roman" w:eastAsia="仿宋" w:cs="Times New Roman"/>
                <w:color w:val="auto"/>
                <w:sz w:val="21"/>
                <w:szCs w:val="21"/>
                <w:lang w:val="en-US" w:eastAsia="zh-CN"/>
              </w:rPr>
              <w:t>秒</w:t>
            </w:r>
          </w:p>
        </w:tc>
        <w:tc>
          <w:tcPr>
            <w:tcW w:w="114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0.2189</w:t>
            </w:r>
          </w:p>
        </w:tc>
        <w:tc>
          <w:tcPr>
            <w:tcW w:w="28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17</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17.5</w:t>
            </w:r>
            <w:r>
              <w:rPr>
                <w:rStyle w:val="56"/>
                <w:rFonts w:hint="default" w:ascii="Times New Roman" w:hAnsi="Times New Roman" w:eastAsia="仿宋" w:cs="Times New Roman"/>
                <w:color w:val="auto"/>
                <w:sz w:val="21"/>
                <w:szCs w:val="21"/>
                <w:lang w:val="en-US" w:eastAsia="zh-CN"/>
              </w:rPr>
              <w:t>秒</w:t>
            </w:r>
          </w:p>
        </w:tc>
        <w:tc>
          <w:tcPr>
            <w:tcW w:w="68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400"/>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w:t>
            </w:r>
          </w:p>
        </w:tc>
        <w:tc>
          <w:tcPr>
            <w:tcW w:w="231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800</w:t>
            </w:r>
          </w:p>
        </w:tc>
        <w:tc>
          <w:tcPr>
            <w:tcW w:w="1488"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7.1434</w:t>
            </w:r>
          </w:p>
        </w:tc>
        <w:tc>
          <w:tcPr>
            <w:tcW w:w="165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10</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30.0</w:t>
            </w:r>
            <w:r>
              <w:rPr>
                <w:rStyle w:val="56"/>
                <w:rFonts w:hint="default" w:ascii="Times New Roman" w:hAnsi="Times New Roman" w:eastAsia="仿宋" w:cs="Times New Roman"/>
                <w:color w:val="auto"/>
                <w:sz w:val="21"/>
                <w:szCs w:val="21"/>
                <w:lang w:val="en-US" w:eastAsia="zh-CN"/>
              </w:rPr>
              <w:t>秒</w:t>
            </w:r>
          </w:p>
        </w:tc>
        <w:tc>
          <w:tcPr>
            <w:tcW w:w="12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w:t>
            </w:r>
          </w:p>
        </w:tc>
        <w:tc>
          <w:tcPr>
            <w:tcW w:w="24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114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0.1437</w:t>
            </w:r>
          </w:p>
        </w:tc>
        <w:tc>
          <w:tcPr>
            <w:tcW w:w="28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18</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52.1</w:t>
            </w:r>
            <w:r>
              <w:rPr>
                <w:rStyle w:val="56"/>
                <w:rFonts w:hint="default" w:ascii="Times New Roman" w:hAnsi="Times New Roman" w:eastAsia="仿宋" w:cs="Times New Roman"/>
                <w:color w:val="auto"/>
                <w:sz w:val="21"/>
                <w:szCs w:val="21"/>
                <w:lang w:val="en-US" w:eastAsia="zh-CN"/>
              </w:rPr>
              <w:t>秒</w:t>
            </w:r>
          </w:p>
        </w:tc>
        <w:tc>
          <w:tcPr>
            <w:tcW w:w="68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400"/>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231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900</w:t>
            </w:r>
          </w:p>
        </w:tc>
        <w:tc>
          <w:tcPr>
            <w:tcW w:w="1488"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5.674</w:t>
            </w:r>
          </w:p>
        </w:tc>
        <w:tc>
          <w:tcPr>
            <w:tcW w:w="165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11</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60.0</w:t>
            </w:r>
            <w:r>
              <w:rPr>
                <w:rStyle w:val="56"/>
                <w:rFonts w:hint="default" w:ascii="Times New Roman" w:hAnsi="Times New Roman" w:eastAsia="仿宋" w:cs="Times New Roman"/>
                <w:color w:val="auto"/>
                <w:sz w:val="21"/>
                <w:szCs w:val="21"/>
                <w:lang w:val="en-US" w:eastAsia="zh-CN"/>
              </w:rPr>
              <w:t>秒</w:t>
            </w:r>
          </w:p>
        </w:tc>
        <w:tc>
          <w:tcPr>
            <w:tcW w:w="12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w:t>
            </w:r>
          </w:p>
        </w:tc>
        <w:tc>
          <w:tcPr>
            <w:tcW w:w="24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w:t>
            </w:r>
          </w:p>
        </w:tc>
        <w:tc>
          <w:tcPr>
            <w:tcW w:w="114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0.0991</w:t>
            </w:r>
          </w:p>
        </w:tc>
        <w:tc>
          <w:tcPr>
            <w:tcW w:w="28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20</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29.0</w:t>
            </w:r>
            <w:r>
              <w:rPr>
                <w:rStyle w:val="56"/>
                <w:rFonts w:hint="default" w:ascii="Times New Roman" w:hAnsi="Times New Roman" w:eastAsia="仿宋" w:cs="Times New Roman"/>
                <w:color w:val="auto"/>
                <w:sz w:val="21"/>
                <w:szCs w:val="21"/>
                <w:lang w:val="en-US" w:eastAsia="zh-CN"/>
              </w:rPr>
              <w:t>秒</w:t>
            </w:r>
          </w:p>
        </w:tc>
        <w:tc>
          <w:tcPr>
            <w:tcW w:w="68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400"/>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231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1000</w:t>
            </w:r>
          </w:p>
        </w:tc>
        <w:tc>
          <w:tcPr>
            <w:tcW w:w="1488"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4.6286</w:t>
            </w:r>
          </w:p>
        </w:tc>
        <w:tc>
          <w:tcPr>
            <w:tcW w:w="165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13</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5.1</w:t>
            </w:r>
            <w:r>
              <w:rPr>
                <w:rStyle w:val="56"/>
                <w:rFonts w:hint="default" w:ascii="Times New Roman" w:hAnsi="Times New Roman" w:eastAsia="仿宋" w:cs="Times New Roman"/>
                <w:color w:val="auto"/>
                <w:sz w:val="21"/>
                <w:szCs w:val="21"/>
                <w:lang w:val="en-US" w:eastAsia="zh-CN"/>
              </w:rPr>
              <w:t>秒</w:t>
            </w:r>
          </w:p>
        </w:tc>
        <w:tc>
          <w:tcPr>
            <w:tcW w:w="12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w:t>
            </w:r>
          </w:p>
        </w:tc>
        <w:tc>
          <w:tcPr>
            <w:tcW w:w="24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114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0.0711</w:t>
            </w:r>
          </w:p>
        </w:tc>
        <w:tc>
          <w:tcPr>
            <w:tcW w:w="28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100"/>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22</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7.7</w:t>
            </w:r>
            <w:r>
              <w:rPr>
                <w:rStyle w:val="56"/>
                <w:rFonts w:hint="default" w:ascii="Times New Roman" w:hAnsi="Times New Roman" w:eastAsia="仿宋" w:cs="Times New Roman"/>
                <w:color w:val="auto"/>
                <w:sz w:val="21"/>
                <w:szCs w:val="21"/>
                <w:lang w:val="en-US" w:eastAsia="zh-CN"/>
              </w:rPr>
              <w:t>秒</w:t>
            </w:r>
          </w:p>
        </w:tc>
        <w:tc>
          <w:tcPr>
            <w:tcW w:w="68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400"/>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231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1500</w:t>
            </w:r>
          </w:p>
        </w:tc>
        <w:tc>
          <w:tcPr>
            <w:tcW w:w="1488"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3.8563</w:t>
            </w:r>
          </w:p>
        </w:tc>
        <w:tc>
          <w:tcPr>
            <w:tcW w:w="165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13</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59.5</w:t>
            </w:r>
            <w:r>
              <w:rPr>
                <w:rStyle w:val="56"/>
                <w:rFonts w:hint="default" w:ascii="Times New Roman" w:hAnsi="Times New Roman" w:eastAsia="仿宋" w:cs="Times New Roman"/>
                <w:color w:val="auto"/>
                <w:sz w:val="21"/>
                <w:szCs w:val="21"/>
                <w:lang w:val="en-US" w:eastAsia="zh-CN"/>
              </w:rPr>
              <w:t>秒</w:t>
            </w:r>
          </w:p>
        </w:tc>
        <w:tc>
          <w:tcPr>
            <w:tcW w:w="12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w:t>
            </w:r>
          </w:p>
        </w:tc>
        <w:tc>
          <w:tcPr>
            <w:tcW w:w="24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w:t>
            </w:r>
          </w:p>
        </w:tc>
        <w:tc>
          <w:tcPr>
            <w:tcW w:w="114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0.0526</w:t>
            </w:r>
          </w:p>
        </w:tc>
        <w:tc>
          <w:tcPr>
            <w:tcW w:w="28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100"/>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23</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47.7</w:t>
            </w:r>
            <w:r>
              <w:rPr>
                <w:rStyle w:val="56"/>
                <w:rFonts w:hint="default" w:ascii="Times New Roman" w:hAnsi="Times New Roman" w:eastAsia="仿宋" w:cs="Times New Roman"/>
                <w:color w:val="auto"/>
                <w:sz w:val="21"/>
                <w:szCs w:val="21"/>
                <w:lang w:val="en-US" w:eastAsia="zh-CN"/>
              </w:rPr>
              <w:t>秒</w:t>
            </w:r>
          </w:p>
        </w:tc>
        <w:tc>
          <w:tcPr>
            <w:tcW w:w="68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400"/>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231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2000</w:t>
            </w:r>
          </w:p>
        </w:tc>
        <w:tc>
          <w:tcPr>
            <w:tcW w:w="1488"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1.9379</w:t>
            </w:r>
          </w:p>
        </w:tc>
        <w:tc>
          <w:tcPr>
            <w:tcW w:w="165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18</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31.8</w:t>
            </w:r>
            <w:r>
              <w:rPr>
                <w:rStyle w:val="56"/>
                <w:rFonts w:hint="default" w:ascii="Times New Roman" w:hAnsi="Times New Roman" w:eastAsia="仿宋" w:cs="Times New Roman"/>
                <w:color w:val="auto"/>
                <w:sz w:val="21"/>
                <w:szCs w:val="21"/>
                <w:lang w:val="en-US" w:eastAsia="zh-CN"/>
              </w:rPr>
              <w:t>秒</w:t>
            </w:r>
          </w:p>
        </w:tc>
        <w:tc>
          <w:tcPr>
            <w:tcW w:w="12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w:t>
            </w:r>
          </w:p>
        </w:tc>
        <w:tc>
          <w:tcPr>
            <w:tcW w:w="24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w:t>
            </w:r>
          </w:p>
        </w:tc>
        <w:tc>
          <w:tcPr>
            <w:tcW w:w="114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0.0162</w:t>
            </w:r>
          </w:p>
        </w:tc>
        <w:tc>
          <w:tcPr>
            <w:tcW w:w="28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100"/>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32</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19.6</w:t>
            </w:r>
            <w:r>
              <w:rPr>
                <w:rStyle w:val="56"/>
                <w:rFonts w:hint="default" w:ascii="Times New Roman" w:hAnsi="Times New Roman" w:eastAsia="仿宋" w:cs="Times New Roman"/>
                <w:color w:val="auto"/>
                <w:sz w:val="21"/>
                <w:szCs w:val="21"/>
                <w:lang w:val="en-US" w:eastAsia="zh-CN"/>
              </w:rPr>
              <w:t>秒</w:t>
            </w:r>
          </w:p>
        </w:tc>
        <w:tc>
          <w:tcPr>
            <w:tcW w:w="68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400"/>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231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2500</w:t>
            </w:r>
          </w:p>
        </w:tc>
        <w:tc>
          <w:tcPr>
            <w:tcW w:w="1488"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1.1803</w:t>
            </w:r>
          </w:p>
        </w:tc>
        <w:tc>
          <w:tcPr>
            <w:tcW w:w="165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23</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4.0</w:t>
            </w:r>
            <w:r>
              <w:rPr>
                <w:rStyle w:val="56"/>
                <w:rFonts w:hint="default" w:ascii="Times New Roman" w:hAnsi="Times New Roman" w:eastAsia="仿宋" w:cs="Times New Roman"/>
                <w:color w:val="auto"/>
                <w:sz w:val="21"/>
                <w:szCs w:val="21"/>
                <w:lang w:val="en-US" w:eastAsia="zh-CN"/>
              </w:rPr>
              <w:t>秒</w:t>
            </w:r>
          </w:p>
        </w:tc>
        <w:tc>
          <w:tcPr>
            <w:tcW w:w="12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w:t>
            </w:r>
          </w:p>
        </w:tc>
        <w:tc>
          <w:tcPr>
            <w:tcW w:w="24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6"/>
                <w:rFonts w:hint="default" w:ascii="Times New Roman" w:hAnsi="Times New Roman" w:eastAsia="仿宋" w:cs="Times New Roman"/>
                <w:color w:val="auto"/>
                <w:sz w:val="21"/>
                <w:szCs w:val="21"/>
                <w:lang w:val="en-US" w:eastAsia="zh-CN"/>
              </w:rPr>
              <w:t>/</w:t>
            </w:r>
          </w:p>
        </w:tc>
        <w:tc>
          <w:tcPr>
            <w:tcW w:w="114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0.0069</w:t>
            </w:r>
          </w:p>
        </w:tc>
        <w:tc>
          <w:tcPr>
            <w:tcW w:w="28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100"/>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41</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1.4</w:t>
            </w:r>
            <w:r>
              <w:rPr>
                <w:rStyle w:val="56"/>
                <w:rFonts w:hint="default" w:ascii="Times New Roman" w:hAnsi="Times New Roman" w:eastAsia="仿宋" w:cs="Times New Roman"/>
                <w:color w:val="auto"/>
                <w:sz w:val="21"/>
                <w:szCs w:val="21"/>
                <w:lang w:val="en-US" w:eastAsia="zh-CN"/>
              </w:rPr>
              <w:t>秒</w:t>
            </w:r>
          </w:p>
        </w:tc>
        <w:tc>
          <w:tcPr>
            <w:tcW w:w="68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400"/>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231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106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3000</w:t>
            </w:r>
          </w:p>
        </w:tc>
        <w:tc>
          <w:tcPr>
            <w:tcW w:w="1488"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0.8067</w:t>
            </w:r>
          </w:p>
        </w:tc>
        <w:tc>
          <w:tcPr>
            <w:tcW w:w="1657"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27</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36.3</w:t>
            </w:r>
            <w:r>
              <w:rPr>
                <w:rStyle w:val="56"/>
                <w:rFonts w:hint="default" w:ascii="Times New Roman" w:hAnsi="Times New Roman" w:eastAsia="仿宋" w:cs="Times New Roman"/>
                <w:color w:val="auto"/>
                <w:sz w:val="21"/>
                <w:szCs w:val="21"/>
                <w:lang w:val="en-US" w:eastAsia="zh-CN"/>
              </w:rPr>
              <w:t>秒</w:t>
            </w:r>
          </w:p>
        </w:tc>
        <w:tc>
          <w:tcPr>
            <w:tcW w:w="122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247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114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kern w:val="0"/>
                <w:sz w:val="21"/>
                <w:szCs w:val="21"/>
                <w:u w:val="none"/>
                <w:lang w:val="en-US" w:eastAsia="zh-CN"/>
              </w:rPr>
              <w:t>0.0036</w:t>
            </w:r>
          </w:p>
        </w:tc>
        <w:tc>
          <w:tcPr>
            <w:tcW w:w="287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49</w:t>
            </w:r>
            <w:r>
              <w:rPr>
                <w:rStyle w:val="56"/>
                <w:rFonts w:hint="default" w:ascii="Times New Roman" w:hAnsi="Times New Roman" w:eastAsia="仿宋" w:cs="Times New Roman"/>
                <w:color w:val="auto"/>
                <w:sz w:val="21"/>
                <w:szCs w:val="21"/>
                <w:lang w:val="en-US" w:eastAsia="zh-CN"/>
              </w:rPr>
              <w:t>分</w:t>
            </w:r>
            <w:r>
              <w:rPr>
                <w:rStyle w:val="57"/>
                <w:rFonts w:hint="default" w:ascii="Times New Roman" w:hAnsi="Times New Roman" w:eastAsia="仿宋" w:cs="Times New Roman"/>
                <w:color w:val="auto"/>
                <w:sz w:val="21"/>
                <w:szCs w:val="21"/>
                <w:lang w:val="en-US" w:eastAsia="zh-CN"/>
              </w:rPr>
              <w:t>47.5</w:t>
            </w:r>
            <w:r>
              <w:rPr>
                <w:rStyle w:val="56"/>
                <w:rFonts w:hint="default" w:ascii="Times New Roman" w:hAnsi="Times New Roman" w:eastAsia="仿宋" w:cs="Times New Roman"/>
                <w:color w:val="auto"/>
                <w:sz w:val="21"/>
                <w:szCs w:val="21"/>
                <w:lang w:val="en-US" w:eastAsia="zh-CN"/>
              </w:rPr>
              <w:t>秒</w:t>
            </w:r>
          </w:p>
        </w:tc>
        <w:tc>
          <w:tcPr>
            <w:tcW w:w="683"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Chars="400"/>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c>
          <w:tcPr>
            <w:tcW w:w="231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sz w:val="21"/>
                <w:szCs w:val="21"/>
                <w:u w:val="none"/>
              </w:rPr>
            </w:pPr>
            <w:r>
              <w:rPr>
                <w:rStyle w:val="57"/>
                <w:rFonts w:hint="default" w:ascii="Times New Roman" w:hAnsi="Times New Roman" w:eastAsia="仿宋" w:cs="Times New Roman"/>
                <w:color w:val="auto"/>
                <w:sz w:val="21"/>
                <w:szCs w:val="21"/>
                <w:lang w:val="en-US" w:eastAsia="zh-CN"/>
              </w:rPr>
              <w:t>/</w:t>
            </w:r>
          </w:p>
        </w:tc>
      </w:tr>
    </w:tbl>
    <w:p>
      <w:pPr>
        <w:pStyle w:val="29"/>
        <w:jc w:val="left"/>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val="0"/>
          <w:bCs w:val="0"/>
          <w:color w:val="auto"/>
          <w:sz w:val="24"/>
          <w:szCs w:val="24"/>
          <w:lang w:val="en-US" w:eastAsia="zh-CN"/>
        </w:rPr>
        <w:t>备注：A 标准为半致死浓度590mg/kg，B标准参照《工作场所有害因素职业接触限值有害因素》（GBZ2.1-2007）时间加权容许浓度限值 5mg/m</w:t>
      </w:r>
      <w:r>
        <w:rPr>
          <w:rFonts w:hint="eastAsia" w:ascii="Times New Roman" w:hAnsi="Times New Roman" w:eastAsia="仿宋" w:cs="Times New Roman"/>
          <w:b w:val="0"/>
          <w:bCs w:val="0"/>
          <w:color w:val="auto"/>
          <w:sz w:val="24"/>
          <w:szCs w:val="24"/>
          <w:vertAlign w:val="superscript"/>
          <w:lang w:val="en-US" w:eastAsia="zh-CN"/>
        </w:rPr>
        <w:t>3</w:t>
      </w:r>
      <w:r>
        <w:rPr>
          <w:rFonts w:hint="eastAsia" w:ascii="Times New Roman" w:hAnsi="Times New Roman" w:eastAsia="仿宋" w:cs="Times New Roman"/>
          <w:b w:val="0"/>
          <w:bCs w:val="0"/>
          <w:color w:val="auto"/>
          <w:sz w:val="24"/>
          <w:szCs w:val="24"/>
          <w:lang w:val="en-US" w:eastAsia="zh-CN"/>
        </w:rPr>
        <w:t>。</w:t>
      </w:r>
    </w:p>
    <w:p>
      <w:pPr>
        <w:pStyle w:val="29"/>
        <w:jc w:val="center"/>
        <w:rPr>
          <w:rFonts w:hint="default" w:ascii="Times New Roman" w:hAnsi="Times New Roman" w:eastAsia="仿宋" w:cs="Times New Roman"/>
          <w:b/>
          <w:bCs/>
          <w:color w:val="auto"/>
          <w:sz w:val="24"/>
          <w:szCs w:val="24"/>
          <w:vertAlign w:val="superscript"/>
          <w:lang w:val="en-US" w:eastAsia="zh-CN"/>
        </w:rPr>
        <w:sectPr>
          <w:pgSz w:w="16783" w:h="11850"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9"/>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4.4-2 丙烯酸浓度超标范围表</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32"/>
        <w:gridCol w:w="1661"/>
        <w:gridCol w:w="1853"/>
        <w:gridCol w:w="1693"/>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662" w:type="dxa"/>
            <w:vMerge w:val="restart"/>
            <w:vAlign w:val="top"/>
          </w:tcPr>
          <w:p>
            <w:pPr>
              <w:pStyle w:val="29"/>
              <w:jc w:val="center"/>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序号</w:t>
            </w:r>
          </w:p>
        </w:tc>
        <w:tc>
          <w:tcPr>
            <w:tcW w:w="932" w:type="dxa"/>
            <w:vMerge w:val="restart"/>
            <w:vAlign w:val="top"/>
          </w:tcPr>
          <w:p>
            <w:pPr>
              <w:pStyle w:val="29"/>
              <w:jc w:val="center"/>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污染物</w:t>
            </w:r>
          </w:p>
        </w:tc>
        <w:tc>
          <w:tcPr>
            <w:tcW w:w="3514" w:type="dxa"/>
            <w:gridSpan w:val="2"/>
            <w:vAlign w:val="top"/>
          </w:tcPr>
          <w:p>
            <w:pPr>
              <w:pStyle w:val="29"/>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超过半致死浓度</w:t>
            </w:r>
          </w:p>
        </w:tc>
        <w:tc>
          <w:tcPr>
            <w:tcW w:w="3414" w:type="dxa"/>
            <w:gridSpan w:val="2"/>
            <w:vAlign w:val="top"/>
          </w:tcPr>
          <w:p>
            <w:pPr>
              <w:pStyle w:val="29"/>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超过短时间接触限值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continue"/>
            <w:vAlign w:val="top"/>
          </w:tcPr>
          <w:p>
            <w:pPr>
              <w:pStyle w:val="29"/>
              <w:jc w:val="center"/>
              <w:rPr>
                <w:rFonts w:hint="default" w:ascii="Times New Roman" w:hAnsi="Times New Roman" w:eastAsia="仿宋" w:cs="Times New Roman"/>
                <w:b w:val="0"/>
                <w:bCs w:val="0"/>
                <w:color w:val="auto"/>
                <w:sz w:val="21"/>
                <w:szCs w:val="21"/>
                <w:lang w:val="en-US" w:eastAsia="zh-CN"/>
              </w:rPr>
            </w:pPr>
          </w:p>
        </w:tc>
        <w:tc>
          <w:tcPr>
            <w:tcW w:w="932" w:type="dxa"/>
            <w:vMerge w:val="continue"/>
            <w:vAlign w:val="top"/>
          </w:tcPr>
          <w:p>
            <w:pPr>
              <w:pStyle w:val="29"/>
              <w:jc w:val="center"/>
              <w:rPr>
                <w:rFonts w:hint="default" w:ascii="Times New Roman" w:hAnsi="Times New Roman" w:eastAsia="仿宋" w:cs="Times New Roman"/>
                <w:b w:val="0"/>
                <w:bCs w:val="0"/>
                <w:color w:val="auto"/>
                <w:sz w:val="21"/>
                <w:szCs w:val="21"/>
                <w:lang w:val="en-US" w:eastAsia="zh-CN"/>
              </w:rPr>
            </w:pPr>
          </w:p>
        </w:tc>
        <w:tc>
          <w:tcPr>
            <w:tcW w:w="1661" w:type="dxa"/>
            <w:vAlign w:val="top"/>
          </w:tcPr>
          <w:p>
            <w:pPr>
              <w:pStyle w:val="29"/>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 xml:space="preserve">有风，D稳定度 </w:t>
            </w:r>
          </w:p>
        </w:tc>
        <w:tc>
          <w:tcPr>
            <w:tcW w:w="1853" w:type="dxa"/>
            <w:vAlign w:val="top"/>
          </w:tcPr>
          <w:p>
            <w:pPr>
              <w:pStyle w:val="29"/>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静小风，E稳定度</w:t>
            </w:r>
          </w:p>
        </w:tc>
        <w:tc>
          <w:tcPr>
            <w:tcW w:w="1693" w:type="dxa"/>
            <w:vAlign w:val="top"/>
          </w:tcPr>
          <w:p>
            <w:pPr>
              <w:pStyle w:val="29"/>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有风，D稳定度</w:t>
            </w:r>
          </w:p>
        </w:tc>
        <w:tc>
          <w:tcPr>
            <w:tcW w:w="1721" w:type="dxa"/>
            <w:vAlign w:val="top"/>
          </w:tcPr>
          <w:p>
            <w:pPr>
              <w:pStyle w:val="29"/>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静小风，E稳定度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top"/>
          </w:tcPr>
          <w:p>
            <w:pPr>
              <w:pStyle w:val="29"/>
              <w:jc w:val="center"/>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w:t>
            </w:r>
          </w:p>
        </w:tc>
        <w:tc>
          <w:tcPr>
            <w:tcW w:w="932" w:type="dxa"/>
            <w:vAlign w:val="top"/>
          </w:tcPr>
          <w:p>
            <w:pPr>
              <w:pStyle w:val="29"/>
              <w:jc w:val="center"/>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丙烯酸</w:t>
            </w:r>
          </w:p>
        </w:tc>
        <w:tc>
          <w:tcPr>
            <w:tcW w:w="1661" w:type="dxa"/>
            <w:vAlign w:val="top"/>
          </w:tcPr>
          <w:p>
            <w:pPr>
              <w:pStyle w:val="29"/>
              <w:jc w:val="center"/>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0-30</w:t>
            </w:r>
          </w:p>
        </w:tc>
        <w:tc>
          <w:tcPr>
            <w:tcW w:w="1853" w:type="dxa"/>
            <w:vAlign w:val="top"/>
          </w:tcPr>
          <w:p>
            <w:pPr>
              <w:pStyle w:val="29"/>
              <w:jc w:val="center"/>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0-700</w:t>
            </w:r>
          </w:p>
        </w:tc>
        <w:tc>
          <w:tcPr>
            <w:tcW w:w="1693" w:type="dxa"/>
            <w:vAlign w:val="top"/>
          </w:tcPr>
          <w:p>
            <w:pPr>
              <w:pStyle w:val="29"/>
              <w:jc w:val="center"/>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无</w:t>
            </w:r>
          </w:p>
        </w:tc>
        <w:tc>
          <w:tcPr>
            <w:tcW w:w="1721" w:type="dxa"/>
            <w:vAlign w:val="top"/>
          </w:tcPr>
          <w:p>
            <w:pPr>
              <w:pStyle w:val="29"/>
              <w:jc w:val="center"/>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0-200</w:t>
            </w:r>
          </w:p>
        </w:tc>
      </w:tr>
    </w:tbl>
    <w:p>
      <w:pPr>
        <w:pStyle w:val="29"/>
        <w:jc w:val="center"/>
        <w:rPr>
          <w:rFonts w:hint="default" w:ascii="Times New Roman" w:hAnsi="Times New Roman" w:eastAsia="仿宋" w:cs="Times New Roman"/>
          <w:b/>
          <w:bCs/>
          <w:color w:val="auto"/>
          <w:lang w:val="en-US" w:eastAsia="zh-CN"/>
        </w:rPr>
      </w:pPr>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通过表4.4-1至表 4.4-2分析可见，反应釜泄漏后，在假定有风事故状态下，下风向30m范围内会出现半致死浓度超标，在 700m 范围内会出现时间加权容许浓度限值超标。在假定静风事故状态下，下风向不会出现半致死浓度超标，在200m范围内会出现时间加权容许浓度限值超标。根据预测结果在设定条件下，距离本项目最近的保护目标为项目地东侧的四海人家，与本项目距离约为700m，保护目标边界处不会出现以上污染物半致死浓度范围。</w:t>
      </w:r>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在有风不利气象情况下，在装置发生小量泄漏(未爆炸火灾)的假设事故发生的短时间内，丙烯酸在700m范围内超过国家职业卫生标准《工作场所有害因素职业接触限值》GBZ-2002中短时间接触容许浓度的要求，即在700m范围内对人群有一定短时伤害影响。若事故得到及其控制，则可在事故结束后很快恢复正常。</w:t>
      </w:r>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综上分析，发生泄漏事故在采取相应的措施后，环境可以接受。泄漏的物料应在车间装置四周设置沟槽加以妥善收集，把物质控制在厂区之内，避免对评价范围内的保护目标等造成影响。</w:t>
      </w:r>
    </w:p>
    <w:p>
      <w:pPr>
        <w:widowControl w:val="0"/>
        <w:numPr>
          <w:ilvl w:val="0"/>
          <w:numId w:val="0"/>
        </w:numPr>
        <w:tabs>
          <w:tab w:val="left" w:pos="883"/>
        </w:tabs>
        <w:wordWrap/>
        <w:adjustRightInd/>
        <w:snapToGrid/>
        <w:spacing w:line="360" w:lineRule="auto"/>
        <w:jc w:val="left"/>
        <w:textAlignment w:val="auto"/>
        <w:outlineLvl w:val="2"/>
        <w:rPr>
          <w:rFonts w:hint="default" w:ascii="Times New Roman" w:hAnsi="Times New Roman" w:eastAsia="仿宋" w:cs="Times New Roman"/>
          <w:b/>
          <w:bCs/>
          <w:color w:val="auto"/>
          <w:sz w:val="28"/>
          <w:szCs w:val="28"/>
        </w:rPr>
      </w:pPr>
      <w:bookmarkStart w:id="84" w:name="_Toc9051"/>
      <w:r>
        <w:rPr>
          <w:rFonts w:hint="default" w:ascii="Times New Roman" w:hAnsi="Times New Roman" w:eastAsia="仿宋" w:cs="Times New Roman"/>
          <w:b/>
          <w:bCs/>
          <w:color w:val="auto"/>
          <w:sz w:val="28"/>
          <w:szCs w:val="28"/>
        </w:rPr>
        <w:t>4.4.</w:t>
      </w:r>
      <w:r>
        <w:rPr>
          <w:rFonts w:hint="eastAsia" w:ascii="Times New Roman" w:hAnsi="Times New Roman" w:eastAsia="仿宋" w:cs="Times New Roman"/>
          <w:b/>
          <w:bCs/>
          <w:color w:val="auto"/>
          <w:sz w:val="28"/>
          <w:szCs w:val="28"/>
          <w:lang w:val="en-US" w:eastAsia="zh-CN"/>
        </w:rPr>
        <w:t>2</w:t>
      </w:r>
      <w:r>
        <w:rPr>
          <w:rFonts w:hint="default" w:ascii="Times New Roman" w:hAnsi="Times New Roman" w:eastAsia="仿宋" w:cs="Times New Roman"/>
          <w:b/>
          <w:bCs/>
          <w:color w:val="auto"/>
          <w:sz w:val="28"/>
          <w:szCs w:val="28"/>
        </w:rPr>
        <w:t xml:space="preserve"> </w:t>
      </w:r>
      <w:r>
        <w:rPr>
          <w:rFonts w:hint="eastAsia" w:ascii="Times New Roman" w:hAnsi="Times New Roman" w:eastAsia="仿宋" w:cs="Times New Roman"/>
          <w:b/>
          <w:bCs/>
          <w:color w:val="auto"/>
          <w:sz w:val="28"/>
          <w:szCs w:val="28"/>
          <w:lang w:eastAsia="zh-CN"/>
        </w:rPr>
        <w:t>丙烯酸泄露引发的</w:t>
      </w:r>
      <w:r>
        <w:rPr>
          <w:rFonts w:hint="default" w:ascii="Times New Roman" w:hAnsi="Times New Roman" w:eastAsia="仿宋" w:cs="Times New Roman"/>
          <w:b/>
          <w:bCs/>
          <w:color w:val="auto"/>
          <w:sz w:val="28"/>
          <w:szCs w:val="28"/>
        </w:rPr>
        <w:t>火灾爆炸事故环境影响</w:t>
      </w:r>
      <w:r>
        <w:rPr>
          <w:rFonts w:hint="eastAsia" w:ascii="Times New Roman" w:hAnsi="Times New Roman" w:eastAsia="仿宋" w:cs="Times New Roman"/>
          <w:b/>
          <w:bCs/>
          <w:color w:val="auto"/>
          <w:sz w:val="28"/>
          <w:szCs w:val="28"/>
          <w:lang w:eastAsia="zh-CN"/>
        </w:rPr>
        <w:t>及伴生、次生</w:t>
      </w:r>
      <w:r>
        <w:rPr>
          <w:rFonts w:hint="default" w:ascii="Times New Roman" w:hAnsi="Times New Roman" w:eastAsia="仿宋" w:cs="Times New Roman"/>
          <w:b/>
          <w:bCs/>
          <w:color w:val="auto"/>
          <w:sz w:val="28"/>
          <w:szCs w:val="28"/>
        </w:rPr>
        <w:t>危害后果分析</w:t>
      </w:r>
      <w:bookmarkEnd w:id="84"/>
      <w:r>
        <w:rPr>
          <w:rFonts w:hint="default" w:ascii="Times New Roman" w:hAnsi="Times New Roman" w:eastAsia="仿宋" w:cs="Times New Roman"/>
          <w:b/>
          <w:bCs/>
          <w:color w:val="auto"/>
          <w:sz w:val="28"/>
          <w:szCs w:val="28"/>
        </w:rPr>
        <w:t xml:space="preserve"> </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在发生火灾爆炸后如果不及时处理，污染物将会扩散到周围较大的范围，引起较大范围内的环境污染。</w:t>
      </w:r>
      <w:r>
        <w:rPr>
          <w:rFonts w:hint="eastAsia" w:ascii="Times New Roman" w:hAnsi="Times New Roman" w:eastAsia="仿宋" w:cs="Times New Roman"/>
          <w:color w:val="auto"/>
          <w:sz w:val="28"/>
          <w:szCs w:val="28"/>
          <w:lang w:val="en-US" w:eastAsia="zh-CN"/>
        </w:rPr>
        <w:t>江苏超力建材科技有限公司</w:t>
      </w:r>
      <w:r>
        <w:rPr>
          <w:rFonts w:hint="default" w:ascii="Times New Roman" w:hAnsi="Times New Roman" w:eastAsia="仿宋" w:cs="Times New Roman"/>
          <w:color w:val="auto"/>
          <w:sz w:val="28"/>
          <w:szCs w:val="28"/>
          <w:lang w:val="en-US" w:eastAsia="zh-CN"/>
        </w:rPr>
        <w:t>存在的主要危险事故为因</w:t>
      </w:r>
      <w:r>
        <w:rPr>
          <w:rFonts w:hint="eastAsia" w:ascii="Times New Roman" w:hAnsi="Times New Roman" w:eastAsia="仿宋" w:cs="Times New Roman"/>
          <w:color w:val="auto"/>
          <w:sz w:val="28"/>
          <w:szCs w:val="28"/>
          <w:lang w:val="en-US" w:eastAsia="zh-CN"/>
        </w:rPr>
        <w:t>丙烯酸泄露</w:t>
      </w:r>
      <w:r>
        <w:rPr>
          <w:rFonts w:hint="default" w:ascii="Times New Roman" w:hAnsi="Times New Roman" w:eastAsia="仿宋" w:cs="Times New Roman"/>
          <w:color w:val="auto"/>
          <w:sz w:val="28"/>
          <w:szCs w:val="28"/>
          <w:lang w:val="en-US" w:eastAsia="zh-CN"/>
        </w:rPr>
        <w:t>发生的火灾爆炸事故。因此</w:t>
      </w:r>
      <w:r>
        <w:rPr>
          <w:rFonts w:hint="eastAsia" w:ascii="Times New Roman" w:hAnsi="Times New Roman" w:eastAsia="仿宋" w:cs="Times New Roman"/>
          <w:color w:val="auto"/>
          <w:sz w:val="28"/>
          <w:szCs w:val="28"/>
          <w:lang w:val="en-US" w:eastAsia="zh-CN"/>
        </w:rPr>
        <w:t>储罐</w:t>
      </w:r>
      <w:r>
        <w:rPr>
          <w:rFonts w:hint="default" w:ascii="Times New Roman" w:hAnsi="Times New Roman" w:eastAsia="仿宋" w:cs="Times New Roman"/>
          <w:color w:val="auto"/>
          <w:sz w:val="28"/>
          <w:szCs w:val="28"/>
          <w:lang w:val="en-US" w:eastAsia="zh-CN"/>
        </w:rPr>
        <w:t>区贮存应符合《危险化学品管理条例》及《常用化学危险品贮存通则》的要求。</w:t>
      </w:r>
      <w:r>
        <w:rPr>
          <w:rFonts w:hint="eastAsia" w:ascii="Times New Roman" w:hAnsi="Times New Roman" w:eastAsia="仿宋" w:cs="Times New Roman"/>
          <w:color w:val="auto"/>
          <w:sz w:val="28"/>
          <w:szCs w:val="28"/>
          <w:lang w:val="en-US" w:eastAsia="zh-CN"/>
        </w:rPr>
        <w:t>火灾对周围大气环境的影响主要表现为散发的热辐射。如果热辐射非常高可能引起其它易燃物质起火。此外，热辐射也会使有机体燃烧。燃烧事故一旦发生，将对大气环境及水环境造成一定程度的污染影响。但火灾爆炸事故，将会对厂内及厂界附近人群健康造成一定损害，火灾产生消防尾水如不能集中收集处理，任意排放，污染周围地表水、土壤。此外，火灾燃烧过程产生的烟雾及有害气体可造成一定的环境污染。</w:t>
      </w:r>
      <w:r>
        <w:rPr>
          <w:rFonts w:hint="eastAsia" w:ascii="Times New Roman" w:hAnsi="Times New Roman" w:eastAsia="仿宋" w:cs="Times New Roman"/>
          <w:color w:val="auto"/>
          <w:sz w:val="28"/>
          <w:szCs w:val="28"/>
          <w:lang w:val="en-US" w:eastAsia="zh-CN"/>
        </w:rPr>
        <w:t>根据估算，一般在距爆炸源80m范围内，火灾的热辐射较大，在此范围内有机物会燃烧；150m范围内，木质结构将会燃烧；150m范围外，一般木质结构不会燃烧；200m以外为安全范围。</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建设项目周围200m均为企业，且厂界设置绿化隔离带，前后均有道路相隔，周围无居民，因此，发生爆炸后对周围的影响相对较小。但对厂内职工影响较大。超力公司必须认真落实各项预防和应急措施，尽量避免火灾爆炸事故；企业的生产区和储罐区应尽量远离保护目标，降低火灾爆炸的事故影响。</w:t>
      </w:r>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当有毒有害、易燃易爆物质发生泄漏引发火灾或爆炸事故时，一方面有可能使生产设施损坏，另一方面可能引起其它伴生/次生事故。</w:t>
      </w:r>
    </w:p>
    <w:p>
      <w:pPr>
        <w:snapToGrid w:val="0"/>
        <w:spacing w:line="240" w:lineRule="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燃烧、爆炸，造成大量碳氢化合物以气态形式进入大气，同时本身以气体形式挥发进入大气，对环境造成危害。有毒物质、消防水等经雨水管网流入地表水体，造成水体污染。</w:t>
      </w:r>
      <w:r>
        <w:rPr>
          <w:rFonts w:hint="eastAsia" w:ascii="Times New Roman" w:hAnsi="Times New Roman" w:eastAsia="仿宋" w:cs="Times New Roman"/>
          <w:color w:val="auto"/>
          <w:sz w:val="28"/>
          <w:szCs w:val="28"/>
          <w:lang w:val="en-US" w:eastAsia="zh-CN"/>
        </w:rPr>
        <w:t>当出现火灾事故时安全系统报警，操作人员在迅速组织灭火，</w:t>
      </w:r>
      <w:r>
        <w:rPr>
          <w:rFonts w:hint="eastAsia" w:ascii="Times New Roman" w:hAnsi="Times New Roman" w:eastAsia="仿宋" w:cs="Times New Roman"/>
          <w:color w:val="auto"/>
          <w:sz w:val="28"/>
          <w:szCs w:val="28"/>
          <w:lang w:val="en-US" w:eastAsia="zh-CN"/>
        </w:rPr>
        <w:t>对消防水采取有效的收集措施，切断雨水及污水阀门，打开事故池阀门，将消防尾水排入事故池，环境风险较低。</w:t>
      </w:r>
    </w:p>
    <w:p>
      <w:pPr>
        <w:widowControl w:val="0"/>
        <w:tabs>
          <w:tab w:val="left" w:pos="788"/>
        </w:tabs>
        <w:wordWrap/>
        <w:adjustRightInd/>
        <w:snapToGrid/>
        <w:spacing w:line="240" w:lineRule="auto"/>
        <w:ind w:firstLine="560" w:firstLineChars="200"/>
        <w:jc w:val="left"/>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伴生、次生危害</w:t>
      </w:r>
      <w:r>
        <w:rPr>
          <w:rFonts w:hint="eastAsia" w:ascii="Times New Roman" w:hAnsi="Times New Roman" w:eastAsia="仿宋" w:cs="Times New Roman"/>
          <w:color w:val="auto"/>
          <w:sz w:val="28"/>
          <w:szCs w:val="28"/>
          <w:lang w:val="en-US" w:eastAsia="zh-CN"/>
        </w:rPr>
        <w:t>见</w:t>
      </w:r>
      <w:r>
        <w:rPr>
          <w:rFonts w:hint="default" w:ascii="Times New Roman" w:hAnsi="Times New Roman" w:eastAsia="仿宋" w:cs="Times New Roman"/>
          <w:color w:val="auto"/>
          <w:sz w:val="28"/>
          <w:szCs w:val="28"/>
          <w:lang w:val="en-US" w:eastAsia="zh-CN"/>
        </w:rPr>
        <w:t>表4.2-</w:t>
      </w:r>
      <w:r>
        <w:rPr>
          <w:rFonts w:hint="eastAsia" w:ascii="Times New Roman" w:hAnsi="Times New Roman" w:eastAsia="仿宋" w:cs="Times New Roman"/>
          <w:color w:val="auto"/>
          <w:sz w:val="28"/>
          <w:szCs w:val="28"/>
          <w:lang w:val="en-US" w:eastAsia="zh-CN"/>
        </w:rPr>
        <w:t>2。</w:t>
      </w:r>
    </w:p>
    <w:p>
      <w:pPr>
        <w:snapToGrid w:val="0"/>
        <w:spacing w:line="500" w:lineRule="exact"/>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4.2-</w:t>
      </w:r>
      <w:r>
        <w:rPr>
          <w:rFonts w:hint="eastAsia" w:ascii="Times New Roman" w:hAnsi="Times New Roman" w:eastAsia="仿宋" w:cs="Times New Roman"/>
          <w:b/>
          <w:bCs/>
          <w:color w:val="auto"/>
          <w:sz w:val="24"/>
          <w:szCs w:val="24"/>
          <w:lang w:val="en-US" w:eastAsia="zh-CN"/>
        </w:rPr>
        <w:t>2</w:t>
      </w:r>
      <w:r>
        <w:rPr>
          <w:rFonts w:hint="default" w:ascii="Times New Roman" w:hAnsi="Times New Roman" w:eastAsia="仿宋" w:cs="Times New Roman"/>
          <w:b/>
          <w:bCs/>
          <w:color w:val="auto"/>
          <w:sz w:val="24"/>
          <w:szCs w:val="24"/>
        </w:rPr>
        <w:t xml:space="preserve"> 伴生、次生危害一览表</w:t>
      </w:r>
    </w:p>
    <w:tbl>
      <w:tblPr>
        <w:tblStyle w:val="21"/>
        <w:tblW w:w="904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86"/>
        <w:gridCol w:w="872"/>
        <w:gridCol w:w="2501"/>
        <w:gridCol w:w="2194"/>
        <w:gridCol w:w="219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1286" w:type="dxa"/>
            <w:vMerge w:val="restart"/>
            <w:vAlign w:val="center"/>
          </w:tcPr>
          <w:p>
            <w:pPr>
              <w:pStyle w:val="17"/>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化学品名称</w:t>
            </w:r>
          </w:p>
        </w:tc>
        <w:tc>
          <w:tcPr>
            <w:tcW w:w="872" w:type="dxa"/>
            <w:vMerge w:val="restart"/>
            <w:vAlign w:val="center"/>
          </w:tcPr>
          <w:p>
            <w:pPr>
              <w:pStyle w:val="17"/>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条件</w:t>
            </w:r>
          </w:p>
        </w:tc>
        <w:tc>
          <w:tcPr>
            <w:tcW w:w="2501" w:type="dxa"/>
            <w:vMerge w:val="restart"/>
            <w:vAlign w:val="center"/>
          </w:tcPr>
          <w:p>
            <w:pPr>
              <w:pStyle w:val="17"/>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伴生和次生事故及产物</w:t>
            </w:r>
          </w:p>
        </w:tc>
        <w:tc>
          <w:tcPr>
            <w:tcW w:w="4387" w:type="dxa"/>
            <w:gridSpan w:val="2"/>
            <w:vAlign w:val="center"/>
          </w:tcPr>
          <w:p>
            <w:pPr>
              <w:pStyle w:val="17"/>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危害后果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1286" w:type="dxa"/>
            <w:vMerge w:val="continue"/>
            <w:vAlign w:val="center"/>
          </w:tcPr>
          <w:p>
            <w:pPr>
              <w:pStyle w:val="17"/>
              <w:rPr>
                <w:rFonts w:hint="default" w:ascii="Times New Roman" w:hAnsi="Times New Roman" w:eastAsia="仿宋" w:cs="Times New Roman"/>
                <w:b/>
                <w:bCs/>
                <w:color w:val="auto"/>
                <w:sz w:val="21"/>
                <w:szCs w:val="21"/>
              </w:rPr>
            </w:pPr>
          </w:p>
        </w:tc>
        <w:tc>
          <w:tcPr>
            <w:tcW w:w="872" w:type="dxa"/>
            <w:vMerge w:val="continue"/>
            <w:vAlign w:val="center"/>
          </w:tcPr>
          <w:p>
            <w:pPr>
              <w:pStyle w:val="17"/>
              <w:rPr>
                <w:rFonts w:hint="default" w:ascii="Times New Roman" w:hAnsi="Times New Roman" w:eastAsia="仿宋" w:cs="Times New Roman"/>
                <w:b/>
                <w:bCs/>
                <w:color w:val="auto"/>
                <w:sz w:val="21"/>
                <w:szCs w:val="21"/>
              </w:rPr>
            </w:pPr>
          </w:p>
        </w:tc>
        <w:tc>
          <w:tcPr>
            <w:tcW w:w="2501" w:type="dxa"/>
            <w:vMerge w:val="continue"/>
            <w:vAlign w:val="center"/>
          </w:tcPr>
          <w:p>
            <w:pPr>
              <w:pStyle w:val="17"/>
              <w:rPr>
                <w:rFonts w:hint="default" w:ascii="Times New Roman" w:hAnsi="Times New Roman" w:eastAsia="仿宋" w:cs="Times New Roman"/>
                <w:b/>
                <w:bCs/>
                <w:color w:val="auto"/>
                <w:sz w:val="21"/>
                <w:szCs w:val="21"/>
              </w:rPr>
            </w:pPr>
          </w:p>
        </w:tc>
        <w:tc>
          <w:tcPr>
            <w:tcW w:w="2194" w:type="dxa"/>
            <w:vAlign w:val="center"/>
          </w:tcPr>
          <w:p>
            <w:pPr>
              <w:pStyle w:val="17"/>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大气污染</w:t>
            </w:r>
          </w:p>
        </w:tc>
        <w:tc>
          <w:tcPr>
            <w:tcW w:w="2193" w:type="dxa"/>
            <w:vAlign w:val="center"/>
          </w:tcPr>
          <w:p>
            <w:pPr>
              <w:pStyle w:val="17"/>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水体污染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1286" w:type="dxa"/>
            <w:vAlign w:val="center"/>
          </w:tcPr>
          <w:p>
            <w:pPr>
              <w:pStyle w:val="17"/>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丙烯酸</w:t>
            </w:r>
          </w:p>
        </w:tc>
        <w:tc>
          <w:tcPr>
            <w:tcW w:w="872" w:type="dxa"/>
            <w:vAlign w:val="center"/>
          </w:tcPr>
          <w:p>
            <w:pPr>
              <w:pStyle w:val="17"/>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遇明火</w:t>
            </w:r>
          </w:p>
        </w:tc>
        <w:tc>
          <w:tcPr>
            <w:tcW w:w="2501" w:type="dxa"/>
            <w:vAlign w:val="center"/>
          </w:tcPr>
          <w:p>
            <w:pPr>
              <w:pStyle w:val="17"/>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燃烧、爆炸，同时造成大量碳氢化合物以气态形式进入大气，同时本身以气体形式挥发进入大气，对环境造成危害。</w:t>
            </w:r>
          </w:p>
        </w:tc>
        <w:tc>
          <w:tcPr>
            <w:tcW w:w="2194" w:type="dxa"/>
            <w:vAlign w:val="center"/>
          </w:tcPr>
          <w:p>
            <w:pPr>
              <w:pStyle w:val="17"/>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有毒物质自身和次生的有毒物质以气态形式挥发进入大气，产生的的伴生/次生危害，造成大气污染。</w:t>
            </w:r>
          </w:p>
        </w:tc>
        <w:tc>
          <w:tcPr>
            <w:tcW w:w="2193" w:type="dxa"/>
            <w:vAlign w:val="center"/>
          </w:tcPr>
          <w:p>
            <w:pPr>
              <w:pStyle w:val="17"/>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有毒物质、消防水等经雨水管网流入地表水体，造成水体污染。</w:t>
            </w:r>
          </w:p>
        </w:tc>
      </w:tr>
    </w:tbl>
    <w:p>
      <w:pPr>
        <w:pStyle w:val="29"/>
        <w:rPr>
          <w:rFonts w:hint="eastAsia"/>
          <w:color w:val="auto"/>
          <w:lang w:val="en-US" w:eastAsia="zh-CN"/>
        </w:rPr>
      </w:pPr>
    </w:p>
    <w:p>
      <w:pPr>
        <w:widowControl w:val="0"/>
        <w:numPr>
          <w:ilvl w:val="0"/>
          <w:numId w:val="0"/>
        </w:numPr>
        <w:tabs>
          <w:tab w:val="left" w:pos="883"/>
        </w:tabs>
        <w:wordWrap/>
        <w:adjustRightInd/>
        <w:snapToGrid/>
        <w:spacing w:line="360" w:lineRule="auto"/>
        <w:jc w:val="left"/>
        <w:textAlignment w:val="auto"/>
        <w:outlineLvl w:val="2"/>
        <w:rPr>
          <w:rFonts w:hint="default" w:ascii="Times New Roman" w:hAnsi="Times New Roman" w:eastAsia="仿宋" w:cs="Times New Roman"/>
          <w:b/>
          <w:bCs/>
          <w:color w:val="auto"/>
          <w:sz w:val="28"/>
          <w:szCs w:val="28"/>
          <w:lang w:eastAsia="zh-CN"/>
        </w:rPr>
      </w:pPr>
      <w:bookmarkStart w:id="85" w:name="_Toc222"/>
      <w:r>
        <w:rPr>
          <w:rFonts w:hint="default" w:ascii="Times New Roman" w:hAnsi="Times New Roman" w:eastAsia="仿宋" w:cs="Times New Roman"/>
          <w:b/>
          <w:bCs/>
          <w:color w:val="auto"/>
          <w:sz w:val="28"/>
          <w:szCs w:val="28"/>
          <w:lang w:eastAsia="zh-CN"/>
        </w:rPr>
        <w:t>4.4.</w:t>
      </w:r>
      <w:r>
        <w:rPr>
          <w:rFonts w:hint="eastAsia" w:ascii="Times New Roman" w:hAnsi="Times New Roman" w:eastAsia="仿宋" w:cs="Times New Roman"/>
          <w:b/>
          <w:bCs/>
          <w:color w:val="auto"/>
          <w:sz w:val="28"/>
          <w:szCs w:val="28"/>
          <w:lang w:val="en-US" w:eastAsia="zh-CN"/>
        </w:rPr>
        <w:t>3</w:t>
      </w:r>
      <w:r>
        <w:rPr>
          <w:rFonts w:hint="default" w:ascii="Times New Roman" w:hAnsi="Times New Roman" w:eastAsia="仿宋" w:cs="Times New Roman"/>
          <w:b/>
          <w:bCs/>
          <w:color w:val="auto"/>
          <w:sz w:val="28"/>
          <w:szCs w:val="28"/>
          <w:lang w:eastAsia="zh-CN"/>
        </w:rPr>
        <w:t xml:space="preserve"> </w:t>
      </w:r>
      <w:r>
        <w:rPr>
          <w:rFonts w:hint="eastAsia" w:ascii="Times New Roman" w:hAnsi="Times New Roman" w:eastAsia="仿宋" w:cs="Times New Roman"/>
          <w:b/>
          <w:bCs/>
          <w:color w:val="auto"/>
          <w:sz w:val="28"/>
          <w:szCs w:val="28"/>
          <w:lang w:eastAsia="zh-CN"/>
        </w:rPr>
        <w:t>废气超标排放</w:t>
      </w:r>
      <w:r>
        <w:rPr>
          <w:rFonts w:hint="default" w:ascii="Times New Roman" w:hAnsi="Times New Roman" w:eastAsia="仿宋" w:cs="Times New Roman"/>
          <w:b/>
          <w:bCs/>
          <w:color w:val="auto"/>
          <w:sz w:val="28"/>
          <w:szCs w:val="28"/>
          <w:lang w:eastAsia="zh-CN"/>
        </w:rPr>
        <w:t>事故环境影响危害后果分析</w:t>
      </w:r>
      <w:bookmarkEnd w:id="85"/>
      <w:r>
        <w:rPr>
          <w:rFonts w:hint="default" w:ascii="Times New Roman" w:hAnsi="Times New Roman" w:eastAsia="仿宋" w:cs="Times New Roman"/>
          <w:b/>
          <w:bCs/>
          <w:color w:val="auto"/>
          <w:sz w:val="28"/>
          <w:szCs w:val="28"/>
          <w:lang w:eastAsia="zh-CN"/>
        </w:rPr>
        <w:t xml:space="preserve"> </w:t>
      </w:r>
    </w:p>
    <w:p>
      <w:pPr>
        <w:pStyle w:val="8"/>
        <w:spacing w:before="50" w:after="50" w:line="360" w:lineRule="auto"/>
        <w:ind w:firstLine="560"/>
        <w:rPr>
          <w:rFonts w:hint="eastAsia" w:ascii="宋体" w:hAnsi="宋体"/>
          <w:color w:val="auto"/>
          <w:lang w:eastAsia="zh-CN"/>
        </w:rPr>
      </w:pPr>
      <w:r>
        <w:rPr>
          <w:rFonts w:hint="default" w:ascii="Times New Roman" w:hAnsi="Times New Roman" w:eastAsia="仿宋" w:cs="Times New Roman"/>
          <w:color w:val="auto"/>
        </w:rPr>
        <w:t>在假定事故状态下，废气处理系统发生事故后，因排放量小，因此，不会危及居民区人体健康</w:t>
      </w:r>
      <w:r>
        <w:rPr>
          <w:rFonts w:hint="eastAsia" w:ascii="Times New Roman" w:hAnsi="Times New Roman" w:eastAsia="仿宋" w:cs="Times New Roman"/>
          <w:color w:val="auto"/>
          <w:lang w:eastAsia="zh-CN"/>
        </w:rPr>
        <w:t>，</w:t>
      </w:r>
      <w:r>
        <w:rPr>
          <w:rFonts w:hint="eastAsia" w:ascii="宋体" w:hAnsi="宋体"/>
          <w:color w:val="auto"/>
          <w:lang w:eastAsia="zh-CN"/>
        </w:rPr>
        <w:t>预估突发环境事件级别为</w:t>
      </w:r>
      <w:r>
        <w:rPr>
          <w:rFonts w:hint="eastAsia" w:ascii="宋体" w:hAnsi="宋体" w:cs="宋体"/>
          <w:color w:val="auto"/>
        </w:rPr>
        <w:t>Ⅳ</w:t>
      </w:r>
      <w:r>
        <w:rPr>
          <w:rFonts w:hint="eastAsia" w:ascii="宋体" w:hAnsi="宋体"/>
          <w:color w:val="auto"/>
        </w:rPr>
        <w:t>级</w:t>
      </w:r>
      <w:r>
        <w:rPr>
          <w:rFonts w:hint="eastAsia" w:ascii="宋体" w:hAnsi="宋体"/>
          <w:color w:val="auto"/>
          <w:lang w:eastAsia="zh-CN"/>
        </w:rPr>
        <w:t>。</w:t>
      </w:r>
    </w:p>
    <w:p>
      <w:pPr>
        <w:widowControl w:val="0"/>
        <w:numPr>
          <w:ilvl w:val="0"/>
          <w:numId w:val="0"/>
        </w:numPr>
        <w:tabs>
          <w:tab w:val="left" w:pos="883"/>
        </w:tabs>
        <w:wordWrap/>
        <w:adjustRightInd/>
        <w:snapToGrid/>
        <w:spacing w:line="360" w:lineRule="auto"/>
        <w:jc w:val="left"/>
        <w:textAlignment w:val="auto"/>
        <w:outlineLvl w:val="2"/>
        <w:rPr>
          <w:rFonts w:hint="default" w:ascii="Times New Roman" w:hAnsi="Times New Roman" w:eastAsia="仿宋" w:cs="Times New Roman"/>
          <w:b/>
          <w:bCs/>
          <w:color w:val="auto"/>
          <w:sz w:val="28"/>
          <w:szCs w:val="28"/>
        </w:rPr>
      </w:pPr>
      <w:bookmarkStart w:id="86" w:name="_Toc21021"/>
      <w:r>
        <w:rPr>
          <w:rFonts w:hint="default" w:ascii="Times New Roman" w:hAnsi="Times New Roman" w:eastAsia="仿宋" w:cs="Times New Roman"/>
          <w:b/>
          <w:bCs/>
          <w:color w:val="auto"/>
          <w:sz w:val="28"/>
          <w:szCs w:val="28"/>
        </w:rPr>
        <w:t>4.4.</w:t>
      </w:r>
      <w:r>
        <w:rPr>
          <w:rFonts w:hint="eastAsia" w:ascii="Times New Roman" w:hAnsi="Times New Roman" w:eastAsia="仿宋" w:cs="Times New Roman"/>
          <w:b/>
          <w:bCs/>
          <w:color w:val="auto"/>
          <w:sz w:val="28"/>
          <w:szCs w:val="28"/>
          <w:lang w:val="en-US" w:eastAsia="zh-CN"/>
        </w:rPr>
        <w:t>4</w:t>
      </w:r>
      <w:r>
        <w:rPr>
          <w:rFonts w:hint="default" w:ascii="Times New Roman" w:hAnsi="Times New Roman" w:eastAsia="仿宋" w:cs="Times New Roman"/>
          <w:b/>
          <w:bCs/>
          <w:color w:val="auto"/>
          <w:sz w:val="28"/>
          <w:szCs w:val="28"/>
        </w:rPr>
        <w:t xml:space="preserve"> </w:t>
      </w:r>
      <w:r>
        <w:rPr>
          <w:rFonts w:hint="eastAsia" w:ascii="Times New Roman" w:hAnsi="Times New Roman" w:eastAsia="仿宋" w:cs="Times New Roman"/>
          <w:b/>
          <w:bCs/>
          <w:color w:val="auto"/>
          <w:sz w:val="28"/>
          <w:szCs w:val="28"/>
          <w:lang w:eastAsia="zh-CN"/>
        </w:rPr>
        <w:t>废水超标排放</w:t>
      </w:r>
      <w:r>
        <w:rPr>
          <w:rFonts w:hint="default" w:ascii="Times New Roman" w:hAnsi="Times New Roman" w:eastAsia="仿宋" w:cs="Times New Roman"/>
          <w:b/>
          <w:bCs/>
          <w:color w:val="auto"/>
          <w:sz w:val="28"/>
          <w:szCs w:val="28"/>
        </w:rPr>
        <w:t>事故环境影响危害后果分析</w:t>
      </w:r>
      <w:bookmarkEnd w:id="86"/>
      <w:r>
        <w:rPr>
          <w:rFonts w:hint="default" w:ascii="Times New Roman" w:hAnsi="Times New Roman" w:eastAsia="仿宋" w:cs="Times New Roman"/>
          <w:b/>
          <w:bCs/>
          <w:color w:val="auto"/>
          <w:sz w:val="28"/>
          <w:szCs w:val="28"/>
        </w:rPr>
        <w:t xml:space="preserve"> </w:t>
      </w:r>
    </w:p>
    <w:p>
      <w:pPr>
        <w:pStyle w:val="8"/>
        <w:spacing w:before="50" w:after="50" w:line="360" w:lineRule="auto"/>
        <w:ind w:firstLine="560"/>
        <w:rPr>
          <w:rFonts w:hint="default" w:ascii="宋体" w:hAnsi="宋体"/>
          <w:color w:val="auto"/>
          <w:lang w:val="en-US" w:eastAsia="zh-CN"/>
        </w:rPr>
      </w:pPr>
      <w:r>
        <w:rPr>
          <w:rFonts w:hint="eastAsia" w:ascii="宋体" w:hAnsi="宋体"/>
          <w:color w:val="auto"/>
          <w:lang w:eastAsia="zh-CN"/>
        </w:rPr>
        <w:t>在废水超标排放下，立即关闭出水阀门，持续时间短，不会对下游污水处理厂造成冲击负荷。</w:t>
      </w:r>
    </w:p>
    <w:p>
      <w:pPr>
        <w:widowControl w:val="0"/>
        <w:numPr>
          <w:ilvl w:val="0"/>
          <w:numId w:val="0"/>
        </w:numPr>
        <w:tabs>
          <w:tab w:val="left" w:pos="883"/>
        </w:tabs>
        <w:wordWrap/>
        <w:adjustRightInd/>
        <w:snapToGrid/>
        <w:spacing w:line="360" w:lineRule="auto"/>
        <w:jc w:val="left"/>
        <w:textAlignment w:val="auto"/>
        <w:outlineLvl w:val="2"/>
        <w:rPr>
          <w:rFonts w:hint="eastAsia" w:ascii="Times New Roman" w:hAnsi="Times New Roman" w:eastAsia="仿宋" w:cs="Times New Roman"/>
          <w:b/>
          <w:bCs/>
          <w:color w:val="auto"/>
          <w:sz w:val="28"/>
          <w:szCs w:val="28"/>
          <w:lang w:eastAsia="zh-CN"/>
        </w:rPr>
      </w:pPr>
      <w:bookmarkStart w:id="87" w:name="_Toc12604"/>
      <w:r>
        <w:rPr>
          <w:rFonts w:hint="default" w:ascii="Times New Roman" w:hAnsi="Times New Roman" w:eastAsia="仿宋" w:cs="Times New Roman"/>
          <w:b/>
          <w:bCs/>
          <w:color w:val="auto"/>
          <w:sz w:val="28"/>
          <w:szCs w:val="28"/>
        </w:rPr>
        <w:t>4.4.</w:t>
      </w:r>
      <w:r>
        <w:rPr>
          <w:rFonts w:hint="eastAsia" w:ascii="Times New Roman" w:hAnsi="Times New Roman" w:eastAsia="仿宋" w:cs="Times New Roman"/>
          <w:b/>
          <w:bCs/>
          <w:color w:val="auto"/>
          <w:sz w:val="28"/>
          <w:szCs w:val="28"/>
          <w:lang w:val="en-US" w:eastAsia="zh-CN"/>
        </w:rPr>
        <w:t>5</w:t>
      </w:r>
      <w:r>
        <w:rPr>
          <w:rFonts w:hint="eastAsia" w:ascii="Times New Roman" w:hAnsi="Times New Roman" w:eastAsia="仿宋" w:cs="Times New Roman"/>
          <w:b/>
          <w:bCs/>
          <w:color w:val="auto"/>
          <w:sz w:val="28"/>
          <w:szCs w:val="28"/>
          <w:lang w:eastAsia="zh-CN"/>
        </w:rPr>
        <w:t>地质灾害、暴雨、台风产生的次生灾害</w:t>
      </w:r>
      <w:bookmarkEnd w:id="87"/>
    </w:p>
    <w:p>
      <w:pPr>
        <w:pStyle w:val="8"/>
        <w:spacing w:before="50" w:after="50" w:line="360" w:lineRule="auto"/>
        <w:ind w:firstLine="560"/>
        <w:rPr>
          <w:rFonts w:hint="eastAsia" w:ascii="Times New Roman" w:hAnsi="Times New Roman" w:eastAsia="仿宋" w:cs="Times New Roman"/>
          <w:color w:val="auto"/>
          <w:lang w:eastAsia="zh-CN"/>
        </w:rPr>
      </w:pPr>
      <w:r>
        <w:rPr>
          <w:rFonts w:hint="eastAsia" w:ascii="Times New Roman" w:hAnsi="Times New Roman" w:eastAsia="仿宋" w:cs="Times New Roman"/>
          <w:color w:val="auto"/>
          <w:lang w:eastAsia="zh-CN"/>
        </w:rPr>
        <w:t>发生地质灾害、暴雨、台风等自然灾害时企业会立即启动风险应急预案。引发的次生灾害，主要是风险物质的泄漏和废水的超标排放。源强与突发环境事件相当，所以影响范围不大。</w:t>
      </w:r>
    </w:p>
    <w:p>
      <w:pPr>
        <w:spacing w:line="360" w:lineRule="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br w:type="page"/>
      </w:r>
    </w:p>
    <w:p>
      <w:pPr>
        <w:pStyle w:val="4"/>
        <w:keepNext/>
        <w:keepLines/>
        <w:widowControl w:val="0"/>
        <w:adjustRightInd w:val="0"/>
        <w:snapToGrid w:val="0"/>
        <w:spacing w:beforeLines="50" w:afterLines="50" w:line="360" w:lineRule="auto"/>
        <w:ind w:left="0"/>
        <w:jc w:val="both"/>
        <w:outlineLvl w:val="0"/>
        <w:rPr>
          <w:rFonts w:hint="default" w:ascii="Times New Roman" w:hAnsi="Times New Roman" w:eastAsia="仿宋" w:cs="Times New Roman"/>
          <w:b/>
          <w:color w:val="auto"/>
          <w:sz w:val="32"/>
          <w:szCs w:val="32"/>
        </w:rPr>
      </w:pPr>
      <w:bookmarkStart w:id="88" w:name="_Toc10937"/>
      <w:r>
        <w:rPr>
          <w:rFonts w:hint="default" w:ascii="Times New Roman" w:hAnsi="Times New Roman" w:eastAsia="仿宋" w:cs="Times New Roman"/>
          <w:b/>
          <w:color w:val="auto"/>
          <w:sz w:val="32"/>
          <w:szCs w:val="32"/>
        </w:rPr>
        <w:t>5</w:t>
      </w:r>
      <w:r>
        <w:rPr>
          <w:rFonts w:hint="default" w:ascii="Times New Roman" w:hAnsi="Times New Roman" w:eastAsia="仿宋" w:cs="Times New Roman"/>
          <w:b/>
          <w:color w:val="auto"/>
          <w:kern w:val="0"/>
          <w:sz w:val="32"/>
          <w:szCs w:val="32"/>
        </w:rPr>
        <w:t>现有环境风险防控和应急措施差距分析</w:t>
      </w:r>
      <w:bookmarkEnd w:id="80"/>
      <w:bookmarkEnd w:id="88"/>
    </w:p>
    <w:p>
      <w:pPr>
        <w:pStyle w:val="8"/>
        <w:spacing w:before="50" w:after="50" w:line="240" w:lineRule="auto"/>
        <w:ind w:firstLine="560"/>
        <w:rPr>
          <w:rFonts w:hint="default" w:ascii="Times New Roman" w:hAnsi="Times New Roman" w:eastAsia="仿宋" w:cs="Times New Roman"/>
          <w:color w:val="auto"/>
        </w:rPr>
      </w:pPr>
      <w:r>
        <w:rPr>
          <w:rFonts w:hint="default" w:ascii="Times New Roman" w:hAnsi="Times New Roman" w:eastAsia="仿宋" w:cs="Times New Roman"/>
          <w:color w:val="auto"/>
        </w:rPr>
        <w:t>根据《企业突发环境事件风险评估指南（试行）》要求，主要从环境风险管理制度，环境风险防控与应急措施，环境应急资源，历史经验教训总结，需要整改的短期、中期和长期项目内容等五个方面进行差距分析。</w:t>
      </w:r>
    </w:p>
    <w:p>
      <w:pPr>
        <w:pStyle w:val="8"/>
        <w:spacing w:line="360" w:lineRule="auto"/>
        <w:ind w:firstLine="214" w:firstLineChars="71"/>
        <w:outlineLvl w:val="1"/>
        <w:rPr>
          <w:rFonts w:hint="default" w:ascii="Times New Roman" w:hAnsi="Times New Roman" w:eastAsia="仿宋" w:cs="Times New Roman"/>
          <w:b/>
          <w:bCs/>
          <w:color w:val="auto"/>
          <w:sz w:val="30"/>
          <w:szCs w:val="30"/>
        </w:rPr>
      </w:pPr>
      <w:bookmarkStart w:id="89" w:name="_Toc2920"/>
      <w:r>
        <w:rPr>
          <w:rFonts w:hint="default" w:ascii="Times New Roman" w:hAnsi="Times New Roman" w:eastAsia="仿宋" w:cs="Times New Roman"/>
          <w:b/>
          <w:bCs/>
          <w:color w:val="auto"/>
          <w:sz w:val="30"/>
          <w:szCs w:val="30"/>
          <w:lang w:val="en-US" w:eastAsia="zh-CN"/>
        </w:rPr>
        <w:t>5.1</w:t>
      </w:r>
      <w:r>
        <w:rPr>
          <w:rFonts w:hint="default" w:ascii="Times New Roman" w:hAnsi="Times New Roman" w:eastAsia="仿宋" w:cs="Times New Roman"/>
          <w:b/>
          <w:bCs/>
          <w:color w:val="auto"/>
          <w:sz w:val="30"/>
          <w:szCs w:val="30"/>
        </w:rPr>
        <w:t>、</w:t>
      </w:r>
      <w:r>
        <w:rPr>
          <w:rFonts w:hint="default" w:ascii="Times New Roman" w:hAnsi="Times New Roman" w:eastAsia="仿宋" w:cs="Times New Roman"/>
          <w:b/>
          <w:bCs/>
          <w:color w:val="auto"/>
          <w:sz w:val="30"/>
          <w:szCs w:val="30"/>
        </w:rPr>
        <w:t>环境风险管理制度</w:t>
      </w:r>
      <w:bookmarkEnd w:id="89"/>
    </w:p>
    <w:p>
      <w:pPr>
        <w:pStyle w:val="8"/>
        <w:spacing w:line="360" w:lineRule="auto"/>
        <w:ind w:firstLine="170" w:firstLineChars="71"/>
        <w:jc w:val="center"/>
        <w:rPr>
          <w:rFonts w:ascii="Times New Roman" w:eastAsia="仿宋"/>
          <w:color w:val="auto"/>
          <w:sz w:val="24"/>
          <w:highlight w:val="none"/>
        </w:rPr>
      </w:pPr>
      <w:r>
        <w:rPr>
          <w:rFonts w:ascii="Times New Roman" w:eastAsia="仿宋"/>
          <w:color w:val="auto"/>
          <w:sz w:val="24"/>
          <w:highlight w:val="none"/>
        </w:rPr>
        <w:t>表5.1-1环境风险管理制度方面差距分析</w:t>
      </w:r>
    </w:p>
    <w:tbl>
      <w:tblPr>
        <w:tblStyle w:val="21"/>
        <w:tblW w:w="84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3482"/>
        <w:gridCol w:w="4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pStyle w:val="8"/>
              <w:spacing w:line="240" w:lineRule="auto"/>
              <w:ind w:firstLine="0" w:firstLineChars="0"/>
              <w:jc w:val="center"/>
              <w:rPr>
                <w:rFonts w:ascii="Times New Roman" w:eastAsia="仿宋"/>
                <w:b/>
                <w:color w:val="auto"/>
                <w:sz w:val="21"/>
                <w:szCs w:val="21"/>
              </w:rPr>
            </w:pPr>
            <w:r>
              <w:rPr>
                <w:rFonts w:ascii="Times New Roman" w:eastAsia="仿宋"/>
                <w:b/>
                <w:color w:val="auto"/>
                <w:sz w:val="21"/>
                <w:szCs w:val="21"/>
              </w:rPr>
              <w:t>序号</w:t>
            </w:r>
          </w:p>
        </w:tc>
        <w:tc>
          <w:tcPr>
            <w:tcW w:w="3482" w:type="dxa"/>
            <w:vAlign w:val="center"/>
          </w:tcPr>
          <w:p>
            <w:pPr>
              <w:pStyle w:val="8"/>
              <w:spacing w:line="240" w:lineRule="auto"/>
              <w:ind w:firstLine="0" w:firstLineChars="0"/>
              <w:jc w:val="center"/>
              <w:rPr>
                <w:rFonts w:ascii="Times New Roman" w:eastAsia="仿宋"/>
                <w:b/>
                <w:color w:val="auto"/>
                <w:sz w:val="21"/>
                <w:szCs w:val="21"/>
              </w:rPr>
            </w:pPr>
            <w:r>
              <w:rPr>
                <w:rFonts w:ascii="Times New Roman" w:eastAsia="仿宋"/>
                <w:b/>
                <w:color w:val="auto"/>
                <w:sz w:val="21"/>
                <w:szCs w:val="21"/>
              </w:rPr>
              <w:t>内容</w:t>
            </w:r>
          </w:p>
        </w:tc>
        <w:tc>
          <w:tcPr>
            <w:tcW w:w="4350" w:type="dxa"/>
            <w:vAlign w:val="center"/>
          </w:tcPr>
          <w:p>
            <w:pPr>
              <w:pStyle w:val="8"/>
              <w:spacing w:line="240" w:lineRule="auto"/>
              <w:ind w:firstLine="0" w:firstLineChars="0"/>
              <w:jc w:val="center"/>
              <w:rPr>
                <w:rFonts w:ascii="Times New Roman" w:eastAsia="仿宋"/>
                <w:b/>
                <w:color w:val="auto"/>
                <w:sz w:val="21"/>
                <w:szCs w:val="21"/>
              </w:rPr>
            </w:pPr>
            <w:r>
              <w:rPr>
                <w:rFonts w:ascii="Times New Roman" w:eastAsia="仿宋"/>
                <w:b/>
                <w:color w:val="auto"/>
                <w:sz w:val="21"/>
                <w:szCs w:val="21"/>
              </w:rPr>
              <w:t>企业实际情况和差距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1</w:t>
            </w:r>
          </w:p>
        </w:tc>
        <w:tc>
          <w:tcPr>
            <w:tcW w:w="3482" w:type="dxa"/>
            <w:vAlign w:val="center"/>
          </w:tcPr>
          <w:p>
            <w:pPr>
              <w:pStyle w:val="8"/>
              <w:spacing w:line="240" w:lineRule="auto"/>
              <w:ind w:firstLine="0" w:firstLineChars="0"/>
              <w:rPr>
                <w:rFonts w:ascii="Times New Roman" w:eastAsia="仿宋"/>
                <w:color w:val="auto"/>
                <w:sz w:val="21"/>
                <w:szCs w:val="21"/>
              </w:rPr>
            </w:pPr>
            <w:r>
              <w:rPr>
                <w:rFonts w:ascii="Times New Roman" w:eastAsia="仿宋"/>
                <w:color w:val="auto"/>
                <w:sz w:val="21"/>
                <w:szCs w:val="21"/>
              </w:rPr>
              <w:t>环境风险防控和应急措施制度是否建立，环境风险防控重点岗位的责任人或责任机构是否明确，定期巡检和维护责任制度是否落实</w:t>
            </w:r>
          </w:p>
        </w:tc>
        <w:tc>
          <w:tcPr>
            <w:tcW w:w="4350" w:type="dxa"/>
            <w:vAlign w:val="center"/>
          </w:tcPr>
          <w:p>
            <w:pPr>
              <w:pStyle w:val="8"/>
              <w:spacing w:line="240" w:lineRule="auto"/>
              <w:ind w:firstLine="0" w:firstLineChars="0"/>
              <w:rPr>
                <w:rFonts w:ascii="Times New Roman" w:eastAsia="仿宋"/>
                <w:color w:val="auto"/>
                <w:kern w:val="0"/>
                <w:sz w:val="21"/>
                <w:szCs w:val="21"/>
              </w:rPr>
            </w:pPr>
            <w:r>
              <w:rPr>
                <w:rFonts w:ascii="Times New Roman" w:eastAsia="仿宋"/>
                <w:color w:val="auto"/>
                <w:kern w:val="0"/>
                <w:sz w:val="21"/>
                <w:szCs w:val="21"/>
              </w:rPr>
              <w:t>环境风险防控和应急措施制度</w:t>
            </w:r>
            <w:r>
              <w:rPr>
                <w:rFonts w:hint="eastAsia" w:ascii="Times New Roman" w:eastAsia="仿宋"/>
                <w:color w:val="auto"/>
                <w:kern w:val="0"/>
                <w:sz w:val="21"/>
                <w:szCs w:val="21"/>
                <w:lang w:eastAsia="zh-CN"/>
              </w:rPr>
              <w:t>尚需</w:t>
            </w:r>
            <w:r>
              <w:rPr>
                <w:rFonts w:ascii="Times New Roman" w:eastAsia="仿宋"/>
                <w:color w:val="auto"/>
                <w:kern w:val="0"/>
                <w:sz w:val="21"/>
                <w:szCs w:val="21"/>
              </w:rPr>
              <w:t>完善。未明确环境风险防控重点岗位的责任人或责任机构。建立了风险源和风险设施的定期巡检和维护责任制。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2</w:t>
            </w:r>
          </w:p>
        </w:tc>
        <w:tc>
          <w:tcPr>
            <w:tcW w:w="3482" w:type="dxa"/>
            <w:vAlign w:val="center"/>
          </w:tcPr>
          <w:p>
            <w:pPr>
              <w:pStyle w:val="8"/>
              <w:spacing w:line="240" w:lineRule="auto"/>
              <w:ind w:firstLine="0" w:firstLineChars="0"/>
              <w:rPr>
                <w:rFonts w:ascii="Times New Roman" w:eastAsia="仿宋"/>
                <w:color w:val="auto"/>
                <w:sz w:val="21"/>
                <w:szCs w:val="21"/>
              </w:rPr>
            </w:pPr>
            <w:r>
              <w:rPr>
                <w:rFonts w:ascii="Times New Roman" w:eastAsia="仿宋"/>
                <w:color w:val="auto"/>
                <w:sz w:val="21"/>
                <w:szCs w:val="21"/>
              </w:rPr>
              <w:t>环评及批复文件的各项环境风险防控和应急措施要求是否落实；</w:t>
            </w:r>
          </w:p>
        </w:tc>
        <w:tc>
          <w:tcPr>
            <w:tcW w:w="4350" w:type="dxa"/>
            <w:vAlign w:val="center"/>
          </w:tcPr>
          <w:p>
            <w:pPr>
              <w:pStyle w:val="8"/>
              <w:spacing w:line="240" w:lineRule="auto"/>
              <w:ind w:firstLine="0" w:firstLineChars="0"/>
              <w:rPr>
                <w:rFonts w:ascii="Times New Roman" w:eastAsia="仿宋"/>
                <w:color w:val="auto"/>
                <w:kern w:val="0"/>
                <w:sz w:val="21"/>
                <w:szCs w:val="21"/>
              </w:rPr>
            </w:pPr>
            <w:r>
              <w:rPr>
                <w:rFonts w:ascii="Times New Roman" w:eastAsia="仿宋"/>
                <w:color w:val="auto"/>
                <w:kern w:val="0"/>
                <w:sz w:val="21"/>
                <w:szCs w:val="21"/>
              </w:rPr>
              <w:t>按环评及批复文件落实了水污染防治措施，</w:t>
            </w:r>
            <w:r>
              <w:rPr>
                <w:rFonts w:hint="eastAsia" w:ascii="Times New Roman" w:eastAsia="仿宋"/>
                <w:color w:val="auto"/>
                <w:kern w:val="0"/>
                <w:sz w:val="21"/>
                <w:szCs w:val="21"/>
                <w:lang w:eastAsia="zh-CN"/>
              </w:rPr>
              <w:t>尚</w:t>
            </w:r>
            <w:r>
              <w:rPr>
                <w:rFonts w:ascii="Times New Roman" w:eastAsia="仿宋"/>
                <w:color w:val="auto"/>
                <w:kern w:val="0"/>
                <w:sz w:val="21"/>
                <w:szCs w:val="21"/>
              </w:rPr>
              <w:t>未</w:t>
            </w:r>
            <w:r>
              <w:rPr>
                <w:rFonts w:hint="eastAsia" w:ascii="Times New Roman" w:eastAsia="仿宋"/>
                <w:color w:val="auto"/>
                <w:kern w:val="0"/>
                <w:sz w:val="21"/>
                <w:szCs w:val="21"/>
                <w:lang w:eastAsia="zh-CN"/>
              </w:rPr>
              <w:t>进行</w:t>
            </w:r>
            <w:r>
              <w:rPr>
                <w:rFonts w:ascii="Times New Roman" w:eastAsia="仿宋"/>
                <w:color w:val="auto"/>
                <w:kern w:val="0"/>
                <w:sz w:val="21"/>
                <w:szCs w:val="21"/>
              </w:rPr>
              <w:t>环保验收；废气处理设施已安装完毕，</w:t>
            </w:r>
            <w:r>
              <w:rPr>
                <w:rFonts w:hint="eastAsia" w:ascii="Times New Roman" w:eastAsia="仿宋"/>
                <w:color w:val="auto"/>
                <w:kern w:val="0"/>
                <w:sz w:val="21"/>
                <w:szCs w:val="21"/>
                <w:lang w:eastAsia="zh-CN"/>
              </w:rPr>
              <w:t>尚</w:t>
            </w:r>
            <w:r>
              <w:rPr>
                <w:rFonts w:ascii="Times New Roman" w:eastAsia="仿宋"/>
                <w:color w:val="auto"/>
                <w:kern w:val="0"/>
                <w:sz w:val="21"/>
                <w:szCs w:val="21"/>
              </w:rPr>
              <w:t>未</w:t>
            </w:r>
            <w:r>
              <w:rPr>
                <w:rFonts w:hint="eastAsia" w:ascii="Times New Roman" w:eastAsia="仿宋"/>
                <w:color w:val="auto"/>
                <w:kern w:val="0"/>
                <w:sz w:val="21"/>
                <w:szCs w:val="21"/>
                <w:lang w:eastAsia="zh-CN"/>
              </w:rPr>
              <w:t>进行</w:t>
            </w:r>
            <w:r>
              <w:rPr>
                <w:rFonts w:ascii="Times New Roman" w:eastAsia="仿宋"/>
                <w:color w:val="auto"/>
                <w:kern w:val="0"/>
                <w:sz w:val="21"/>
                <w:szCs w:val="21"/>
              </w:rPr>
              <w:t>环保验收。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3</w:t>
            </w:r>
          </w:p>
        </w:tc>
        <w:tc>
          <w:tcPr>
            <w:tcW w:w="3482" w:type="dxa"/>
            <w:vAlign w:val="center"/>
          </w:tcPr>
          <w:p>
            <w:pPr>
              <w:pStyle w:val="8"/>
              <w:spacing w:line="240" w:lineRule="auto"/>
              <w:ind w:firstLine="0" w:firstLineChars="0"/>
              <w:rPr>
                <w:rFonts w:ascii="Times New Roman" w:eastAsia="仿宋"/>
                <w:color w:val="auto"/>
                <w:sz w:val="21"/>
                <w:szCs w:val="21"/>
              </w:rPr>
            </w:pPr>
            <w:r>
              <w:rPr>
                <w:rFonts w:ascii="Times New Roman" w:eastAsia="仿宋"/>
                <w:color w:val="auto"/>
                <w:sz w:val="21"/>
                <w:szCs w:val="21"/>
              </w:rPr>
              <w:t>是否经常对职工开展环境风险和环境应急管理宣传和培训</w:t>
            </w:r>
          </w:p>
        </w:tc>
        <w:tc>
          <w:tcPr>
            <w:tcW w:w="4350" w:type="dxa"/>
            <w:vAlign w:val="center"/>
          </w:tcPr>
          <w:p>
            <w:pPr>
              <w:pStyle w:val="8"/>
              <w:spacing w:line="240" w:lineRule="auto"/>
              <w:ind w:firstLine="0" w:firstLineChars="0"/>
              <w:rPr>
                <w:rFonts w:ascii="Times New Roman" w:eastAsia="仿宋"/>
                <w:color w:val="auto"/>
                <w:sz w:val="21"/>
                <w:szCs w:val="21"/>
              </w:rPr>
            </w:pPr>
            <w:r>
              <w:rPr>
                <w:rFonts w:ascii="Times New Roman" w:eastAsia="仿宋"/>
                <w:color w:val="auto"/>
                <w:sz w:val="21"/>
                <w:szCs w:val="21"/>
              </w:rPr>
              <w:t>虽建立了突发环境事件应急组织架构，</w:t>
            </w:r>
            <w:r>
              <w:rPr>
                <w:rFonts w:hint="eastAsia" w:ascii="Times New Roman" w:eastAsia="仿宋"/>
                <w:color w:val="auto"/>
                <w:sz w:val="21"/>
                <w:szCs w:val="21"/>
                <w:lang w:eastAsia="zh-CN"/>
              </w:rPr>
              <w:t>由于属于新建项目，尚未开展</w:t>
            </w:r>
            <w:r>
              <w:rPr>
                <w:rFonts w:ascii="Times New Roman" w:eastAsia="仿宋"/>
                <w:color w:val="auto"/>
                <w:sz w:val="21"/>
                <w:szCs w:val="21"/>
              </w:rPr>
              <w:t>环境风险和环境风险应急知识宣传与培训。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4</w:t>
            </w:r>
          </w:p>
        </w:tc>
        <w:tc>
          <w:tcPr>
            <w:tcW w:w="3482" w:type="dxa"/>
            <w:vAlign w:val="center"/>
          </w:tcPr>
          <w:p>
            <w:pPr>
              <w:pStyle w:val="8"/>
              <w:spacing w:line="240" w:lineRule="auto"/>
              <w:ind w:firstLine="0" w:firstLineChars="0"/>
              <w:rPr>
                <w:rFonts w:ascii="Times New Roman" w:eastAsia="仿宋"/>
                <w:color w:val="auto"/>
                <w:sz w:val="21"/>
                <w:szCs w:val="21"/>
              </w:rPr>
            </w:pPr>
            <w:r>
              <w:rPr>
                <w:rFonts w:ascii="Times New Roman" w:eastAsia="仿宋"/>
                <w:color w:val="auto"/>
                <w:sz w:val="21"/>
                <w:szCs w:val="21"/>
              </w:rPr>
              <w:t>是否建立突发环境事件信息报告制度，并有效执行。</w:t>
            </w:r>
          </w:p>
        </w:tc>
        <w:tc>
          <w:tcPr>
            <w:tcW w:w="4350" w:type="dxa"/>
            <w:vAlign w:val="center"/>
          </w:tcPr>
          <w:p>
            <w:pPr>
              <w:pStyle w:val="8"/>
              <w:spacing w:line="240" w:lineRule="auto"/>
              <w:ind w:firstLine="0" w:firstLineChars="0"/>
              <w:rPr>
                <w:rFonts w:ascii="Times New Roman" w:eastAsia="仿宋"/>
                <w:color w:val="auto"/>
                <w:sz w:val="21"/>
                <w:szCs w:val="21"/>
              </w:rPr>
            </w:pPr>
            <w:r>
              <w:rPr>
                <w:rFonts w:ascii="Times New Roman" w:eastAsia="仿宋"/>
                <w:color w:val="auto"/>
                <w:sz w:val="21"/>
                <w:szCs w:val="21"/>
              </w:rPr>
              <w:t>建立了环境事件信息报告制度，并有效执行。</w:t>
            </w:r>
          </w:p>
        </w:tc>
      </w:tr>
    </w:tbl>
    <w:p>
      <w:pPr>
        <w:pStyle w:val="8"/>
        <w:spacing w:line="360" w:lineRule="auto"/>
        <w:ind w:firstLine="214" w:firstLineChars="71"/>
        <w:outlineLvl w:val="1"/>
        <w:rPr>
          <w:rFonts w:hint="eastAsia" w:ascii="Times New Roman" w:hAnsi="Times New Roman" w:eastAsia="仿宋" w:cs="Times New Roman"/>
          <w:b/>
          <w:bCs/>
          <w:color w:val="auto"/>
          <w:sz w:val="30"/>
          <w:szCs w:val="30"/>
          <w:lang w:val="en-US" w:eastAsia="zh-CN"/>
        </w:rPr>
      </w:pPr>
      <w:bookmarkStart w:id="90" w:name="_Toc516436383"/>
      <w:bookmarkStart w:id="91" w:name="_Toc3287"/>
      <w:r>
        <w:rPr>
          <w:rFonts w:hint="eastAsia" w:ascii="Times New Roman" w:hAnsi="Times New Roman" w:eastAsia="仿宋" w:cs="Times New Roman"/>
          <w:b/>
          <w:bCs/>
          <w:color w:val="auto"/>
          <w:sz w:val="30"/>
          <w:szCs w:val="30"/>
          <w:lang w:val="en-US" w:eastAsia="zh-CN"/>
        </w:rPr>
        <w:t>5.2风险防控与应急措施</w:t>
      </w:r>
      <w:bookmarkEnd w:id="90"/>
      <w:bookmarkEnd w:id="91"/>
    </w:p>
    <w:p>
      <w:pPr>
        <w:pStyle w:val="8"/>
        <w:spacing w:line="360" w:lineRule="auto"/>
        <w:ind w:firstLine="560"/>
        <w:rPr>
          <w:rFonts w:ascii="Times New Roman" w:eastAsia="仿宋"/>
          <w:color w:val="auto"/>
        </w:rPr>
      </w:pPr>
      <w:r>
        <w:rPr>
          <w:rFonts w:ascii="Times New Roman" w:eastAsia="仿宋"/>
          <w:color w:val="auto"/>
        </w:rPr>
        <w:t>企业在</w:t>
      </w:r>
      <w:r>
        <w:rPr>
          <w:rFonts w:ascii="Times New Roman" w:eastAsia="仿宋"/>
          <w:color w:val="auto"/>
          <w:szCs w:val="28"/>
        </w:rPr>
        <w:t>风险防控与应急措施</w:t>
      </w:r>
      <w:r>
        <w:rPr>
          <w:rFonts w:ascii="Times New Roman" w:eastAsia="仿宋"/>
          <w:color w:val="auto"/>
        </w:rPr>
        <w:t>方面与《企业突发环境事件风险评估指南（试行）》要求内容差距分析见表5.2-1。</w:t>
      </w:r>
    </w:p>
    <w:p>
      <w:pPr>
        <w:pStyle w:val="8"/>
        <w:spacing w:line="360" w:lineRule="auto"/>
        <w:ind w:firstLine="171" w:firstLineChars="71"/>
        <w:jc w:val="center"/>
        <w:rPr>
          <w:rFonts w:hint="eastAsia" w:ascii="Times New Roman" w:eastAsia="仿宋"/>
          <w:b/>
          <w:bCs/>
          <w:color w:val="auto"/>
          <w:sz w:val="24"/>
        </w:rPr>
      </w:pPr>
      <w:r>
        <w:rPr>
          <w:rFonts w:ascii="Times New Roman" w:eastAsia="仿宋"/>
          <w:b/>
          <w:bCs/>
          <w:color w:val="auto"/>
          <w:sz w:val="24"/>
        </w:rPr>
        <w:t>表5.2-1</w:t>
      </w:r>
      <w:r>
        <w:rPr>
          <w:rFonts w:hint="eastAsia" w:ascii="Times New Roman" w:eastAsia="仿宋"/>
          <w:b/>
          <w:bCs/>
          <w:color w:val="auto"/>
          <w:sz w:val="24"/>
        </w:rPr>
        <w:t>风险防控与应急措施方面差距分析</w:t>
      </w:r>
    </w:p>
    <w:tbl>
      <w:tblPr>
        <w:tblStyle w:val="21"/>
        <w:tblW w:w="8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46"/>
        <w:gridCol w:w="4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pStyle w:val="8"/>
              <w:spacing w:line="240" w:lineRule="auto"/>
              <w:ind w:firstLine="0" w:firstLineChars="0"/>
              <w:jc w:val="center"/>
              <w:rPr>
                <w:rFonts w:ascii="Times New Roman" w:eastAsia="仿宋"/>
                <w:b/>
                <w:bCs/>
                <w:color w:val="auto"/>
                <w:sz w:val="21"/>
                <w:szCs w:val="21"/>
              </w:rPr>
            </w:pPr>
            <w:r>
              <w:rPr>
                <w:rFonts w:ascii="Times New Roman" w:eastAsia="仿宋"/>
                <w:b/>
                <w:bCs/>
                <w:color w:val="auto"/>
                <w:sz w:val="21"/>
                <w:szCs w:val="21"/>
              </w:rPr>
              <w:t>序号</w:t>
            </w:r>
          </w:p>
        </w:tc>
        <w:tc>
          <w:tcPr>
            <w:tcW w:w="3646" w:type="dxa"/>
            <w:vAlign w:val="center"/>
          </w:tcPr>
          <w:p>
            <w:pPr>
              <w:pStyle w:val="8"/>
              <w:spacing w:line="240" w:lineRule="auto"/>
              <w:ind w:firstLine="0" w:firstLineChars="0"/>
              <w:jc w:val="center"/>
              <w:rPr>
                <w:rFonts w:ascii="Times New Roman" w:eastAsia="仿宋"/>
                <w:b/>
                <w:bCs/>
                <w:color w:val="auto"/>
                <w:sz w:val="21"/>
                <w:szCs w:val="21"/>
              </w:rPr>
            </w:pPr>
            <w:r>
              <w:rPr>
                <w:rFonts w:ascii="Times New Roman" w:eastAsia="仿宋"/>
                <w:b/>
                <w:bCs/>
                <w:color w:val="auto"/>
                <w:sz w:val="21"/>
                <w:szCs w:val="21"/>
              </w:rPr>
              <w:t>内容</w:t>
            </w:r>
          </w:p>
        </w:tc>
        <w:tc>
          <w:tcPr>
            <w:tcW w:w="4364" w:type="dxa"/>
            <w:vAlign w:val="center"/>
          </w:tcPr>
          <w:p>
            <w:pPr>
              <w:pStyle w:val="8"/>
              <w:spacing w:line="240" w:lineRule="auto"/>
              <w:ind w:firstLine="0" w:firstLineChars="0"/>
              <w:jc w:val="center"/>
              <w:rPr>
                <w:rFonts w:ascii="Times New Roman" w:eastAsia="仿宋"/>
                <w:b/>
                <w:bCs/>
                <w:color w:val="auto"/>
                <w:sz w:val="21"/>
                <w:szCs w:val="21"/>
              </w:rPr>
            </w:pPr>
            <w:r>
              <w:rPr>
                <w:rFonts w:ascii="Times New Roman" w:eastAsia="仿宋"/>
                <w:b/>
                <w:bCs/>
                <w:color w:val="auto"/>
                <w:sz w:val="21"/>
                <w:szCs w:val="21"/>
                <w:highlight w:val="none"/>
              </w:rPr>
              <w:t>企业实际情况和差距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1</w:t>
            </w:r>
          </w:p>
        </w:tc>
        <w:tc>
          <w:tcPr>
            <w:tcW w:w="3646" w:type="dxa"/>
            <w:vAlign w:val="center"/>
          </w:tcPr>
          <w:p>
            <w:pPr>
              <w:pStyle w:val="8"/>
              <w:spacing w:line="240" w:lineRule="auto"/>
              <w:ind w:firstLine="420"/>
              <w:rPr>
                <w:rFonts w:ascii="Times New Roman" w:eastAsia="仿宋"/>
                <w:color w:val="auto"/>
                <w:sz w:val="21"/>
                <w:szCs w:val="21"/>
              </w:rPr>
            </w:pPr>
            <w:r>
              <w:rPr>
                <w:rFonts w:ascii="Times New Roman" w:eastAsia="仿宋"/>
                <w:color w:val="auto"/>
                <w:sz w:val="21"/>
                <w:szCs w:val="21"/>
              </w:rPr>
              <w:t>是否在废气排放口、废水、雨水和清洁下水排放口对可能排出的环境风险物质，按照物质特性、危害，设置监视、控制措施，分析每项措施的管理规定、岗位职责落实情况和措施的有效性。</w:t>
            </w:r>
          </w:p>
        </w:tc>
        <w:tc>
          <w:tcPr>
            <w:tcW w:w="4364" w:type="dxa"/>
            <w:vAlign w:val="center"/>
          </w:tcPr>
          <w:p>
            <w:pPr>
              <w:pStyle w:val="8"/>
              <w:spacing w:line="240" w:lineRule="auto"/>
              <w:ind w:firstLine="0" w:firstLineChars="0"/>
              <w:rPr>
                <w:rFonts w:ascii="Times New Roman" w:eastAsia="仿宋"/>
                <w:color w:val="auto"/>
                <w:sz w:val="21"/>
                <w:szCs w:val="21"/>
              </w:rPr>
            </w:pPr>
            <w:r>
              <w:rPr>
                <w:rFonts w:ascii="Times New Roman" w:eastAsia="仿宋"/>
                <w:color w:val="auto"/>
                <w:sz w:val="21"/>
                <w:szCs w:val="21"/>
              </w:rPr>
              <w:t>企业设有1个废水排放口，1个雨水排放口。</w:t>
            </w:r>
            <w:r>
              <w:rPr>
                <w:rFonts w:hint="eastAsia" w:ascii="Times New Roman" w:eastAsia="仿宋"/>
                <w:color w:val="auto"/>
                <w:sz w:val="21"/>
                <w:szCs w:val="21"/>
                <w:lang w:eastAsia="zh-CN"/>
              </w:rPr>
              <w:t>废水排放安装</w:t>
            </w:r>
            <w:r>
              <w:rPr>
                <w:rFonts w:ascii="Times New Roman" w:eastAsia="仿宋"/>
                <w:color w:val="auto"/>
                <w:sz w:val="21"/>
                <w:szCs w:val="21"/>
                <w:highlight w:val="none"/>
              </w:rPr>
              <w:t>在线监控装置</w:t>
            </w:r>
            <w:r>
              <w:rPr>
                <w:rFonts w:ascii="Times New Roman" w:eastAsia="仿宋"/>
                <w:color w:val="auto"/>
                <w:sz w:val="21"/>
                <w:szCs w:val="21"/>
              </w:rPr>
              <w:t>。在有机废气处理设施的排气筒设置废气采样口，对废气中的挥发性有机物进行监控。采取的污染防治措施符合环保要求，企业在污染防治控制方面有相应的管理规定。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2</w:t>
            </w:r>
          </w:p>
        </w:tc>
        <w:tc>
          <w:tcPr>
            <w:tcW w:w="3646" w:type="dxa"/>
            <w:vAlign w:val="center"/>
          </w:tcPr>
          <w:p>
            <w:pPr>
              <w:pStyle w:val="8"/>
              <w:spacing w:line="240" w:lineRule="auto"/>
              <w:ind w:firstLine="420"/>
              <w:rPr>
                <w:rFonts w:ascii="Times New Roman" w:eastAsia="仿宋"/>
                <w:color w:val="auto"/>
                <w:sz w:val="21"/>
                <w:szCs w:val="21"/>
              </w:rPr>
            </w:pPr>
            <w:r>
              <w:rPr>
                <w:rFonts w:ascii="Times New Roman" w:eastAsia="仿宋"/>
                <w:color w:val="auto"/>
                <w:sz w:val="21"/>
                <w:szCs w:val="21"/>
              </w:rPr>
              <w:t>是否采取防止事故排水、污染物等扩散、排出厂界的措施，包括截流措施、事故排水收集措施、清净下水系统防控措施、雨水系统防控措施、生产废水处理系统防控措施等，分析每项措施的管理规定、岗位职责落实情况和措施的有效性。</w:t>
            </w:r>
          </w:p>
        </w:tc>
        <w:tc>
          <w:tcPr>
            <w:tcW w:w="4364" w:type="dxa"/>
            <w:vAlign w:val="center"/>
          </w:tcPr>
          <w:p>
            <w:pPr>
              <w:pStyle w:val="8"/>
              <w:spacing w:line="240" w:lineRule="auto"/>
              <w:ind w:firstLine="0" w:firstLineChars="0"/>
              <w:rPr>
                <w:rFonts w:ascii="Times New Roman" w:eastAsia="仿宋"/>
                <w:color w:val="auto"/>
                <w:sz w:val="21"/>
                <w:szCs w:val="21"/>
              </w:rPr>
            </w:pPr>
            <w:r>
              <w:rPr>
                <w:rFonts w:ascii="Times New Roman" w:eastAsia="仿宋"/>
                <w:color w:val="auto"/>
                <w:sz w:val="21"/>
                <w:szCs w:val="21"/>
              </w:rPr>
              <w:t>企业防止事故排水、污染物等扩散、排出厂界的措施完善，</w:t>
            </w:r>
            <w:r>
              <w:rPr>
                <w:rFonts w:hint="eastAsia" w:ascii="Times New Roman" w:eastAsia="仿宋"/>
                <w:color w:val="auto"/>
                <w:sz w:val="21"/>
                <w:szCs w:val="21"/>
                <w:lang w:eastAsia="zh-CN"/>
              </w:rPr>
              <w:t>设置</w:t>
            </w:r>
            <w:r>
              <w:rPr>
                <w:rFonts w:ascii="Times New Roman" w:eastAsia="仿宋"/>
                <w:color w:val="auto"/>
                <w:sz w:val="21"/>
                <w:szCs w:val="21"/>
              </w:rPr>
              <w:t>专人负责处理事故排水的收集，但受污染的消防废水可溢流入雨水排放沟。由于事故池与雨水管道的切换系统完备，消防废水会通过雨水系统排入事故池。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pStyle w:val="8"/>
              <w:spacing w:line="240" w:lineRule="auto"/>
              <w:ind w:firstLine="0" w:firstLineChars="0"/>
              <w:jc w:val="center"/>
              <w:rPr>
                <w:rFonts w:ascii="Times New Roman" w:eastAsia="仿宋"/>
                <w:color w:val="auto"/>
                <w:sz w:val="21"/>
                <w:szCs w:val="21"/>
              </w:rPr>
            </w:pPr>
            <w:r>
              <w:rPr>
                <w:rFonts w:ascii="Times New Roman" w:eastAsia="仿宋"/>
                <w:color w:val="auto"/>
                <w:sz w:val="21"/>
                <w:szCs w:val="21"/>
              </w:rPr>
              <w:t>3</w:t>
            </w:r>
          </w:p>
        </w:tc>
        <w:tc>
          <w:tcPr>
            <w:tcW w:w="3646" w:type="dxa"/>
            <w:vAlign w:val="center"/>
          </w:tcPr>
          <w:p>
            <w:pPr>
              <w:pStyle w:val="8"/>
              <w:spacing w:line="240" w:lineRule="auto"/>
              <w:ind w:firstLine="420"/>
              <w:rPr>
                <w:rFonts w:ascii="Times New Roman" w:eastAsia="仿宋"/>
                <w:color w:val="auto"/>
                <w:sz w:val="21"/>
                <w:szCs w:val="21"/>
              </w:rPr>
            </w:pPr>
            <w:r>
              <w:rPr>
                <w:rFonts w:ascii="Times New Roman" w:eastAsia="仿宋"/>
                <w:color w:val="auto"/>
                <w:sz w:val="21"/>
                <w:szCs w:val="21"/>
              </w:rPr>
              <w:t>涉及毒性气体的，是否设置毒性气体泄漏紧急处置装置，是否已布置生产区域或厂界毒性气体泄漏监控预警系统，是否有提醒周边公众紧急疏散的措施和手段等，分析每项措施的管理规定、岗位责任落实情况和措施的有效性。</w:t>
            </w:r>
          </w:p>
        </w:tc>
        <w:tc>
          <w:tcPr>
            <w:tcW w:w="4364" w:type="dxa"/>
            <w:vAlign w:val="center"/>
          </w:tcPr>
          <w:p>
            <w:pPr>
              <w:pStyle w:val="8"/>
              <w:spacing w:line="240" w:lineRule="auto"/>
              <w:ind w:firstLine="0" w:firstLineChars="0"/>
              <w:rPr>
                <w:rFonts w:ascii="Times New Roman" w:eastAsia="仿宋"/>
                <w:color w:val="auto"/>
                <w:sz w:val="21"/>
                <w:szCs w:val="21"/>
              </w:rPr>
            </w:pPr>
            <w:r>
              <w:rPr>
                <w:rFonts w:ascii="Times New Roman" w:eastAsia="仿宋"/>
                <w:color w:val="auto"/>
                <w:sz w:val="21"/>
                <w:szCs w:val="21"/>
              </w:rPr>
              <w:t>企业无毒性气体。在易发生火灾的</w:t>
            </w:r>
            <w:r>
              <w:rPr>
                <w:rFonts w:hint="eastAsia" w:ascii="Times New Roman" w:eastAsia="仿宋"/>
                <w:color w:val="auto"/>
                <w:sz w:val="21"/>
                <w:szCs w:val="21"/>
                <w:lang w:eastAsia="zh-CN"/>
              </w:rPr>
              <w:t>罐区</w:t>
            </w:r>
            <w:r>
              <w:rPr>
                <w:rFonts w:ascii="Times New Roman" w:eastAsia="仿宋"/>
                <w:color w:val="auto"/>
                <w:sz w:val="21"/>
                <w:szCs w:val="21"/>
              </w:rPr>
              <w:t>、成品仓库、生产车间设烟雾报警器，在</w:t>
            </w:r>
            <w:r>
              <w:rPr>
                <w:rFonts w:hint="eastAsia" w:ascii="Times New Roman" w:eastAsia="仿宋"/>
                <w:color w:val="auto"/>
                <w:sz w:val="21"/>
                <w:szCs w:val="21"/>
                <w:lang w:eastAsia="zh-CN"/>
              </w:rPr>
              <w:t>罐区和</w:t>
            </w:r>
            <w:r>
              <w:rPr>
                <w:rFonts w:ascii="Times New Roman" w:eastAsia="仿宋"/>
                <w:color w:val="auto"/>
                <w:sz w:val="21"/>
                <w:szCs w:val="21"/>
              </w:rPr>
              <w:t>化学品库设有机废气报警仪。目前企业</w:t>
            </w:r>
            <w:r>
              <w:rPr>
                <w:rFonts w:hint="eastAsia" w:ascii="Times New Roman" w:eastAsia="仿宋"/>
                <w:color w:val="auto"/>
                <w:sz w:val="21"/>
                <w:szCs w:val="21"/>
                <w:lang w:eastAsia="zh-CN"/>
              </w:rPr>
              <w:t>尚未</w:t>
            </w:r>
            <w:r>
              <w:rPr>
                <w:rFonts w:ascii="Times New Roman" w:eastAsia="仿宋"/>
                <w:color w:val="auto"/>
                <w:sz w:val="21"/>
                <w:szCs w:val="21"/>
              </w:rPr>
              <w:t>设提醒周边公众紧急疏散的措施和手段等确定专人负责。</w:t>
            </w:r>
          </w:p>
        </w:tc>
      </w:tr>
    </w:tbl>
    <w:p>
      <w:pPr>
        <w:pStyle w:val="8"/>
        <w:spacing w:line="360" w:lineRule="auto"/>
        <w:ind w:firstLine="214" w:firstLineChars="71"/>
        <w:outlineLvl w:val="1"/>
        <w:rPr>
          <w:rFonts w:hint="eastAsia" w:ascii="Times New Roman" w:hAnsi="Times New Roman" w:eastAsia="仿宋" w:cs="Times New Roman"/>
          <w:b/>
          <w:bCs/>
          <w:color w:val="auto"/>
          <w:sz w:val="30"/>
          <w:szCs w:val="30"/>
          <w:lang w:val="en-US" w:eastAsia="zh-CN"/>
        </w:rPr>
      </w:pPr>
      <w:bookmarkStart w:id="92" w:name="_Toc15681"/>
      <w:bookmarkStart w:id="93" w:name="_Toc516436384"/>
      <w:r>
        <w:rPr>
          <w:rFonts w:hint="eastAsia" w:ascii="Times New Roman" w:hAnsi="Times New Roman" w:eastAsia="仿宋" w:cs="Times New Roman"/>
          <w:b/>
          <w:bCs/>
          <w:color w:val="auto"/>
          <w:sz w:val="30"/>
          <w:szCs w:val="30"/>
          <w:lang w:val="en-US" w:eastAsia="zh-CN"/>
        </w:rPr>
        <w:t>5.3环境应急资源</w:t>
      </w:r>
      <w:bookmarkEnd w:id="92"/>
      <w:bookmarkEnd w:id="93"/>
    </w:p>
    <w:p>
      <w:pPr>
        <w:pStyle w:val="8"/>
        <w:spacing w:line="500" w:lineRule="exact"/>
        <w:ind w:firstLine="560"/>
        <w:rPr>
          <w:rFonts w:ascii="Times New Roman" w:eastAsia="仿宋"/>
          <w:color w:val="auto"/>
        </w:rPr>
      </w:pPr>
      <w:r>
        <w:rPr>
          <w:rFonts w:ascii="Times New Roman" w:eastAsia="仿宋"/>
          <w:color w:val="auto"/>
        </w:rPr>
        <w:t>企业在</w:t>
      </w:r>
      <w:r>
        <w:rPr>
          <w:rFonts w:ascii="Times New Roman" w:eastAsia="仿宋"/>
          <w:color w:val="auto"/>
          <w:szCs w:val="28"/>
        </w:rPr>
        <w:t>环境应急资源</w:t>
      </w:r>
      <w:r>
        <w:rPr>
          <w:rFonts w:ascii="Times New Roman" w:eastAsia="仿宋"/>
          <w:color w:val="auto"/>
        </w:rPr>
        <w:t>方面与《企业突发环境事件风险评估指南（试行）》要求内容差距分析见表5.3-1。</w:t>
      </w:r>
    </w:p>
    <w:p>
      <w:pPr>
        <w:jc w:val="center"/>
        <w:rPr>
          <w:rFonts w:hint="eastAsia" w:ascii="Times New Roman" w:hAnsi="Times New Roman" w:eastAsia="仿宋" w:cs="Times New Roman"/>
          <w:b/>
          <w:bCs/>
          <w:color w:val="auto"/>
          <w:sz w:val="24"/>
          <w:szCs w:val="24"/>
        </w:rPr>
      </w:pPr>
      <w:r>
        <w:rPr>
          <w:rFonts w:hint="eastAsia" w:ascii="Times New Roman" w:hAnsi="Times New Roman" w:eastAsia="仿宋" w:cs="Times New Roman"/>
          <w:b/>
          <w:bCs/>
          <w:color w:val="auto"/>
          <w:sz w:val="24"/>
          <w:szCs w:val="24"/>
        </w:rPr>
        <w:t>表5.3-1环境应急资源方面差距分析</w:t>
      </w:r>
    </w:p>
    <w:tbl>
      <w:tblPr>
        <w:tblStyle w:val="21"/>
        <w:tblW w:w="8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46"/>
        <w:gridCol w:w="4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center"/>
          </w:tcPr>
          <w:p>
            <w:pPr>
              <w:pStyle w:val="8"/>
              <w:spacing w:line="240" w:lineRule="auto"/>
              <w:ind w:firstLine="0" w:firstLineChars="0"/>
              <w:jc w:val="center"/>
              <w:rPr>
                <w:rFonts w:hint="eastAsia" w:ascii="Times New Roman" w:eastAsia="仿宋"/>
                <w:b/>
                <w:color w:val="auto"/>
                <w:sz w:val="21"/>
                <w:szCs w:val="21"/>
              </w:rPr>
            </w:pPr>
            <w:r>
              <w:rPr>
                <w:rFonts w:hint="eastAsia" w:ascii="Times New Roman" w:eastAsia="仿宋"/>
                <w:b/>
                <w:color w:val="auto"/>
                <w:sz w:val="21"/>
                <w:szCs w:val="21"/>
              </w:rPr>
              <w:t>序号</w:t>
            </w:r>
          </w:p>
        </w:tc>
        <w:tc>
          <w:tcPr>
            <w:tcW w:w="3646" w:type="dxa"/>
            <w:vAlign w:val="center"/>
          </w:tcPr>
          <w:p>
            <w:pPr>
              <w:pStyle w:val="8"/>
              <w:spacing w:line="240" w:lineRule="auto"/>
              <w:ind w:firstLine="0" w:firstLineChars="0"/>
              <w:jc w:val="center"/>
              <w:rPr>
                <w:rFonts w:hint="eastAsia" w:ascii="Times New Roman" w:eastAsia="仿宋"/>
                <w:b/>
                <w:color w:val="auto"/>
                <w:sz w:val="21"/>
                <w:szCs w:val="21"/>
              </w:rPr>
            </w:pPr>
            <w:r>
              <w:rPr>
                <w:rFonts w:hint="eastAsia" w:ascii="Times New Roman" w:eastAsia="仿宋"/>
                <w:b/>
                <w:color w:val="auto"/>
                <w:sz w:val="21"/>
                <w:szCs w:val="21"/>
              </w:rPr>
              <w:t>内容</w:t>
            </w:r>
          </w:p>
        </w:tc>
        <w:tc>
          <w:tcPr>
            <w:tcW w:w="4364" w:type="dxa"/>
            <w:vAlign w:val="center"/>
          </w:tcPr>
          <w:p>
            <w:pPr>
              <w:pStyle w:val="8"/>
              <w:spacing w:line="240" w:lineRule="auto"/>
              <w:ind w:firstLine="0" w:firstLineChars="0"/>
              <w:jc w:val="center"/>
              <w:rPr>
                <w:rFonts w:hint="eastAsia" w:ascii="Times New Roman" w:eastAsia="仿宋"/>
                <w:b/>
                <w:color w:val="auto"/>
                <w:sz w:val="21"/>
                <w:szCs w:val="21"/>
              </w:rPr>
            </w:pPr>
            <w:r>
              <w:rPr>
                <w:rFonts w:hint="eastAsia" w:ascii="Times New Roman" w:eastAsia="仿宋"/>
                <w:b/>
                <w:color w:val="auto"/>
                <w:sz w:val="21"/>
                <w:szCs w:val="21"/>
              </w:rPr>
              <w:t>企业实际情况和差距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rPr>
              <w:t>1</w:t>
            </w:r>
          </w:p>
        </w:tc>
        <w:tc>
          <w:tcPr>
            <w:tcW w:w="3646" w:type="dxa"/>
            <w:vAlign w:val="center"/>
          </w:tcPr>
          <w:p>
            <w:pPr>
              <w:pStyle w:val="8"/>
              <w:spacing w:line="240" w:lineRule="auto"/>
              <w:ind w:firstLine="420" w:firstLineChars="200"/>
              <w:rPr>
                <w:rFonts w:hint="eastAsia" w:ascii="Times New Roman" w:eastAsia="仿宋"/>
                <w:color w:val="auto"/>
                <w:sz w:val="21"/>
                <w:szCs w:val="21"/>
              </w:rPr>
            </w:pPr>
            <w:r>
              <w:rPr>
                <w:rFonts w:hint="eastAsia" w:ascii="Times New Roman" w:eastAsia="仿宋"/>
                <w:color w:val="auto"/>
                <w:sz w:val="21"/>
                <w:szCs w:val="21"/>
              </w:rPr>
              <w:t>是否配备必要的应急物资和应急装备（包括应急监测）</w:t>
            </w:r>
          </w:p>
        </w:tc>
        <w:tc>
          <w:tcPr>
            <w:tcW w:w="4364" w:type="dxa"/>
            <w:vAlign w:val="center"/>
          </w:tcPr>
          <w:p>
            <w:pPr>
              <w:pStyle w:val="8"/>
              <w:spacing w:line="240" w:lineRule="auto"/>
              <w:ind w:firstLine="420" w:firstLineChars="200"/>
              <w:rPr>
                <w:rFonts w:hint="eastAsia" w:ascii="Times New Roman" w:eastAsia="仿宋"/>
                <w:color w:val="auto"/>
                <w:sz w:val="21"/>
                <w:szCs w:val="21"/>
                <w:lang w:eastAsia="zh-CN"/>
              </w:rPr>
            </w:pPr>
            <w:r>
              <w:rPr>
                <w:rFonts w:hint="eastAsia" w:ascii="Times New Roman" w:eastAsia="仿宋"/>
                <w:color w:val="auto"/>
                <w:sz w:val="21"/>
                <w:szCs w:val="21"/>
              </w:rPr>
              <w:t>企业已配备必要的</w:t>
            </w:r>
            <w:r>
              <w:rPr>
                <w:rFonts w:hint="eastAsia" w:ascii="Times New Roman" w:eastAsia="仿宋"/>
                <w:color w:val="auto"/>
                <w:sz w:val="21"/>
                <w:szCs w:val="21"/>
                <w:lang w:eastAsia="zh-CN"/>
              </w:rPr>
              <w:t>安全防护</w:t>
            </w:r>
            <w:r>
              <w:rPr>
                <w:rFonts w:hint="eastAsia" w:ascii="Times New Roman" w:eastAsia="仿宋"/>
                <w:color w:val="auto"/>
                <w:sz w:val="21"/>
                <w:szCs w:val="21"/>
              </w:rPr>
              <w:t>应急物资，见表3.</w:t>
            </w:r>
            <w:r>
              <w:rPr>
                <w:rFonts w:hint="eastAsia" w:ascii="Times New Roman" w:eastAsia="仿宋"/>
                <w:color w:val="auto"/>
                <w:sz w:val="21"/>
                <w:szCs w:val="21"/>
                <w:lang w:val="en-US" w:eastAsia="zh-CN"/>
              </w:rPr>
              <w:t>8</w:t>
            </w:r>
            <w:r>
              <w:rPr>
                <w:rFonts w:hint="eastAsia" w:ascii="Times New Roman" w:eastAsia="仿宋"/>
                <w:color w:val="auto"/>
                <w:sz w:val="21"/>
                <w:szCs w:val="21"/>
              </w:rPr>
              <w:t>-1。</w:t>
            </w:r>
            <w:r>
              <w:rPr>
                <w:rFonts w:hint="eastAsia" w:ascii="Times New Roman" w:eastAsia="仿宋"/>
                <w:color w:val="auto"/>
                <w:sz w:val="21"/>
                <w:szCs w:val="21"/>
                <w:lang w:eastAsia="zh-CN"/>
              </w:rPr>
              <w:t>需补充污染源切断、污染源控制等</w:t>
            </w:r>
            <w:r>
              <w:rPr>
                <w:rFonts w:hint="eastAsia" w:ascii="Times New Roman" w:eastAsia="仿宋"/>
                <w:color w:val="auto"/>
                <w:sz w:val="21"/>
                <w:szCs w:val="21"/>
              </w:rPr>
              <w:t>应急物资</w:t>
            </w:r>
            <w:r>
              <w:rPr>
                <w:rFonts w:hint="eastAsia" w:ascii="Times New Roman" w:eastAsia="仿宋"/>
                <w:color w:val="auto"/>
                <w:sz w:val="21"/>
                <w:szCs w:val="21"/>
                <w:lang w:eastAsia="zh-CN"/>
              </w:rPr>
              <w:t>，</w:t>
            </w:r>
            <w:r>
              <w:rPr>
                <w:rFonts w:hint="eastAsia" w:ascii="Times New Roman" w:eastAsia="仿宋"/>
                <w:color w:val="auto"/>
                <w:sz w:val="21"/>
                <w:szCs w:val="21"/>
              </w:rPr>
              <w:t>应急监测</w:t>
            </w:r>
            <w:r>
              <w:rPr>
                <w:rFonts w:hint="eastAsia" w:ascii="Times New Roman" w:eastAsia="仿宋"/>
                <w:color w:val="auto"/>
                <w:sz w:val="21"/>
                <w:szCs w:val="21"/>
                <w:lang w:eastAsia="zh-CN"/>
              </w:rPr>
              <w:t>可委托第三方检测机构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rPr>
              <w:t>2</w:t>
            </w:r>
          </w:p>
        </w:tc>
        <w:tc>
          <w:tcPr>
            <w:tcW w:w="3646" w:type="dxa"/>
            <w:vAlign w:val="center"/>
          </w:tcPr>
          <w:p>
            <w:pPr>
              <w:pStyle w:val="8"/>
              <w:spacing w:line="240" w:lineRule="auto"/>
              <w:ind w:firstLine="420" w:firstLineChars="200"/>
              <w:rPr>
                <w:rFonts w:hint="eastAsia" w:ascii="Times New Roman" w:eastAsia="仿宋"/>
                <w:color w:val="auto"/>
                <w:sz w:val="21"/>
                <w:szCs w:val="21"/>
              </w:rPr>
            </w:pPr>
            <w:r>
              <w:rPr>
                <w:rFonts w:hint="eastAsia" w:ascii="Times New Roman" w:eastAsia="仿宋"/>
                <w:color w:val="auto"/>
                <w:sz w:val="21"/>
                <w:szCs w:val="21"/>
              </w:rPr>
              <w:t>是否已设置专职或兼职人员组成的应急救援队伍</w:t>
            </w:r>
          </w:p>
        </w:tc>
        <w:tc>
          <w:tcPr>
            <w:tcW w:w="4364" w:type="dxa"/>
            <w:vAlign w:val="center"/>
          </w:tcPr>
          <w:p>
            <w:pPr>
              <w:pStyle w:val="8"/>
              <w:spacing w:line="240" w:lineRule="auto"/>
              <w:ind w:firstLine="420" w:firstLineChars="200"/>
              <w:rPr>
                <w:rFonts w:hint="eastAsia" w:ascii="Times New Roman" w:eastAsia="仿宋"/>
                <w:color w:val="auto"/>
                <w:sz w:val="21"/>
                <w:szCs w:val="21"/>
              </w:rPr>
            </w:pPr>
            <w:r>
              <w:rPr>
                <w:rFonts w:hint="eastAsia" w:ascii="Times New Roman" w:eastAsia="仿宋"/>
                <w:color w:val="auto"/>
                <w:sz w:val="21"/>
                <w:szCs w:val="21"/>
              </w:rPr>
              <w:t>企业有专职或兼职人员组成的应急救援队伍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rPr>
              <w:t>3</w:t>
            </w:r>
          </w:p>
        </w:tc>
        <w:tc>
          <w:tcPr>
            <w:tcW w:w="3646" w:type="dxa"/>
            <w:vAlign w:val="center"/>
          </w:tcPr>
          <w:p>
            <w:pPr>
              <w:pStyle w:val="8"/>
              <w:spacing w:line="240" w:lineRule="auto"/>
              <w:ind w:firstLine="420" w:firstLineChars="200"/>
              <w:rPr>
                <w:rFonts w:hint="eastAsia" w:ascii="Times New Roman" w:eastAsia="仿宋"/>
                <w:color w:val="auto"/>
                <w:sz w:val="21"/>
                <w:szCs w:val="21"/>
              </w:rPr>
            </w:pPr>
            <w:r>
              <w:rPr>
                <w:rFonts w:hint="eastAsia" w:ascii="Times New Roman" w:eastAsia="仿宋"/>
                <w:color w:val="auto"/>
                <w:sz w:val="21"/>
                <w:szCs w:val="21"/>
              </w:rPr>
              <w:t>是否与其他组织或单位签订应急救援协议或互救协议（包括应急物资、应急装备和救援队伍等情况）</w:t>
            </w:r>
          </w:p>
        </w:tc>
        <w:tc>
          <w:tcPr>
            <w:tcW w:w="4364" w:type="dxa"/>
            <w:vAlign w:val="center"/>
          </w:tcPr>
          <w:p>
            <w:pPr>
              <w:pStyle w:val="8"/>
              <w:spacing w:line="240" w:lineRule="auto"/>
              <w:ind w:firstLine="420" w:firstLineChars="200"/>
              <w:rPr>
                <w:rFonts w:hint="eastAsia" w:ascii="Times New Roman" w:eastAsia="仿宋"/>
                <w:color w:val="auto"/>
                <w:sz w:val="21"/>
                <w:szCs w:val="21"/>
                <w:lang w:eastAsia="zh-CN"/>
              </w:rPr>
            </w:pPr>
            <w:r>
              <w:rPr>
                <w:rFonts w:hint="eastAsia" w:ascii="Times New Roman" w:eastAsia="仿宋"/>
                <w:color w:val="auto"/>
                <w:sz w:val="21"/>
                <w:szCs w:val="21"/>
                <w:lang w:eastAsia="zh-CN"/>
              </w:rPr>
              <w:t>已签订互助协议，应</w:t>
            </w:r>
            <w:r>
              <w:rPr>
                <w:rFonts w:hint="eastAsia" w:ascii="Times New Roman" w:eastAsia="仿宋"/>
                <w:color w:val="auto"/>
                <w:sz w:val="21"/>
                <w:szCs w:val="21"/>
              </w:rPr>
              <w:t>与相邻企业徐州方维环保科技有限公司</w:t>
            </w:r>
            <w:r>
              <w:rPr>
                <w:rFonts w:hint="eastAsia" w:ascii="Times New Roman" w:eastAsia="仿宋"/>
                <w:color w:val="auto"/>
                <w:sz w:val="21"/>
                <w:szCs w:val="21"/>
                <w:lang w:eastAsia="zh-CN"/>
              </w:rPr>
              <w:t>、恩华药业</w:t>
            </w:r>
            <w:r>
              <w:rPr>
                <w:rFonts w:hint="eastAsia" w:ascii="Times New Roman" w:eastAsia="仿宋"/>
                <w:color w:val="auto"/>
                <w:sz w:val="21"/>
                <w:szCs w:val="21"/>
              </w:rPr>
              <w:t>签订应急救援协议</w:t>
            </w:r>
            <w:r>
              <w:rPr>
                <w:rFonts w:hint="eastAsia" w:ascii="Times New Roman" w:eastAsia="仿宋"/>
                <w:color w:val="auto"/>
                <w:sz w:val="21"/>
                <w:szCs w:val="21"/>
                <w:lang w:eastAsia="zh-CN"/>
              </w:rPr>
              <w:t>。</w:t>
            </w:r>
          </w:p>
        </w:tc>
      </w:tr>
    </w:tbl>
    <w:p>
      <w:pPr>
        <w:pStyle w:val="8"/>
        <w:spacing w:line="360" w:lineRule="auto"/>
        <w:ind w:firstLine="214" w:firstLineChars="71"/>
        <w:outlineLvl w:val="1"/>
        <w:rPr>
          <w:rFonts w:hint="default" w:ascii="Times New Roman" w:hAnsi="Times New Roman" w:eastAsia="仿宋" w:cs="Times New Roman"/>
          <w:b/>
          <w:bCs/>
          <w:color w:val="auto"/>
          <w:sz w:val="30"/>
          <w:szCs w:val="30"/>
          <w:lang w:val="en-US" w:eastAsia="zh-CN"/>
        </w:rPr>
      </w:pPr>
      <w:bookmarkStart w:id="94" w:name="_Toc516436385"/>
      <w:bookmarkStart w:id="95" w:name="_Toc28753"/>
      <w:r>
        <w:rPr>
          <w:rFonts w:hint="default" w:ascii="Times New Roman" w:hAnsi="Times New Roman" w:eastAsia="仿宋" w:cs="Times New Roman"/>
          <w:b/>
          <w:bCs/>
          <w:color w:val="auto"/>
          <w:sz w:val="30"/>
          <w:szCs w:val="30"/>
          <w:lang w:val="en-US" w:eastAsia="zh-CN"/>
        </w:rPr>
        <w:t>5.4历史经验教训总结</w:t>
      </w:r>
      <w:bookmarkEnd w:id="94"/>
      <w:bookmarkEnd w:id="95"/>
    </w:p>
    <w:p>
      <w:pPr>
        <w:pStyle w:val="8"/>
        <w:spacing w:line="240" w:lineRule="auto"/>
        <w:ind w:firstLine="560"/>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本评估报告例举了丙烯酸泄露引发的火灾、爆炸事件、化学品泄漏引发的</w:t>
      </w:r>
      <w:r>
        <w:rPr>
          <w:rFonts w:hint="default" w:ascii="Times New Roman" w:hAnsi="Times New Roman" w:eastAsia="仿宋" w:cs="Times New Roman"/>
          <w:color w:val="auto"/>
          <w:szCs w:val="28"/>
          <w:lang w:eastAsia="zh-CN"/>
        </w:rPr>
        <w:t>大气污染环境事件</w:t>
      </w:r>
      <w:r>
        <w:rPr>
          <w:rFonts w:hint="default" w:ascii="Times New Roman" w:hAnsi="Times New Roman" w:eastAsia="仿宋" w:cs="Times New Roman"/>
          <w:color w:val="auto"/>
          <w:szCs w:val="28"/>
        </w:rPr>
        <w:t>、</w:t>
      </w:r>
      <w:r>
        <w:rPr>
          <w:rFonts w:hint="default" w:ascii="Times New Roman" w:hAnsi="Times New Roman" w:eastAsia="仿宋" w:cs="Times New Roman"/>
          <w:color w:val="auto"/>
          <w:szCs w:val="28"/>
          <w:lang w:eastAsia="zh-CN"/>
        </w:rPr>
        <w:t>水污染环境事件</w:t>
      </w:r>
      <w:r>
        <w:rPr>
          <w:rFonts w:hint="default" w:ascii="Times New Roman" w:hAnsi="Times New Roman" w:eastAsia="仿宋" w:cs="Times New Roman"/>
          <w:color w:val="auto"/>
          <w:szCs w:val="28"/>
        </w:rPr>
        <w:t>等。</w:t>
      </w:r>
    </w:p>
    <w:p>
      <w:pPr>
        <w:pStyle w:val="8"/>
        <w:spacing w:line="240" w:lineRule="auto"/>
        <w:ind w:firstLine="560"/>
        <w:rPr>
          <w:rFonts w:hint="default" w:ascii="Times New Roman" w:hAnsi="Times New Roman" w:eastAsia="仿宋" w:cs="Times New Roman"/>
          <w:color w:val="auto"/>
          <w:szCs w:val="28"/>
          <w:highlight w:val="none"/>
          <w:shd w:val="clear" w:color="FFFFFF" w:fill="D9D9D9"/>
        </w:rPr>
      </w:pPr>
      <w:r>
        <w:rPr>
          <w:rFonts w:hint="default" w:ascii="Times New Roman" w:hAnsi="Times New Roman" w:eastAsia="仿宋" w:cs="Times New Roman"/>
          <w:color w:val="auto"/>
          <w:szCs w:val="28"/>
        </w:rPr>
        <w:t>为防止上述环境事件的发生，企业针对性的采取了防范措施</w:t>
      </w:r>
      <w:r>
        <w:rPr>
          <w:rFonts w:hint="default" w:ascii="Times New Roman" w:hAnsi="Times New Roman" w:eastAsia="仿宋" w:cs="Times New Roman"/>
          <w:color w:val="auto"/>
          <w:szCs w:val="28"/>
          <w:highlight w:val="none"/>
          <w:shd w:val="clear" w:color="auto" w:fill="auto"/>
        </w:rPr>
        <w:t>（见表4.3-1和突发环境事件应急预案第8.3节）。</w:t>
      </w:r>
    </w:p>
    <w:p>
      <w:pPr>
        <w:pStyle w:val="8"/>
        <w:spacing w:line="240" w:lineRule="auto"/>
        <w:ind w:firstLine="560"/>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根据经验教训，企业拟增加的措施：</w:t>
      </w:r>
    </w:p>
    <w:p>
      <w:pPr>
        <w:pStyle w:val="8"/>
        <w:spacing w:line="240" w:lineRule="auto"/>
        <w:ind w:firstLine="560"/>
        <w:rPr>
          <w:rFonts w:hint="default" w:ascii="Times New Roman" w:hAnsi="Times New Roman" w:eastAsia="仿宋" w:cs="Times New Roman"/>
          <w:color w:val="auto"/>
          <w:szCs w:val="28"/>
        </w:rPr>
      </w:pPr>
      <w:r>
        <w:rPr>
          <w:rFonts w:hint="eastAsia" w:ascii="Times New Roman" w:hAnsi="Times New Roman" w:eastAsia="仿宋" w:cs="Times New Roman"/>
          <w:color w:val="auto"/>
          <w:szCs w:val="28"/>
          <w:lang w:eastAsia="zh-CN"/>
        </w:rPr>
        <w:t>（</w:t>
      </w:r>
      <w:r>
        <w:rPr>
          <w:rFonts w:hint="eastAsia" w:ascii="Times New Roman" w:hAnsi="Times New Roman" w:eastAsia="仿宋" w:cs="Times New Roman"/>
          <w:color w:val="auto"/>
          <w:szCs w:val="28"/>
          <w:lang w:val="en-US" w:eastAsia="zh-CN"/>
        </w:rPr>
        <w:t>1）</w:t>
      </w:r>
      <w:r>
        <w:rPr>
          <w:rFonts w:hint="default" w:ascii="Times New Roman" w:hAnsi="Times New Roman" w:eastAsia="仿宋" w:cs="Times New Roman"/>
          <w:color w:val="auto"/>
          <w:szCs w:val="28"/>
        </w:rPr>
        <w:t>生产各岗位制定严格的安全操作规程，人员培训合格后上岗，定期进行考核；</w:t>
      </w:r>
    </w:p>
    <w:p>
      <w:pPr>
        <w:pStyle w:val="8"/>
        <w:spacing w:line="240" w:lineRule="auto"/>
        <w:ind w:firstLine="560"/>
        <w:rPr>
          <w:rFonts w:hint="default" w:ascii="Times New Roman" w:hAnsi="Times New Roman" w:eastAsia="仿宋" w:cs="Times New Roman"/>
          <w:color w:val="auto"/>
          <w:szCs w:val="28"/>
        </w:rPr>
      </w:pPr>
      <w:r>
        <w:rPr>
          <w:rFonts w:hint="eastAsia" w:ascii="Times New Roman" w:hAnsi="Times New Roman" w:eastAsia="仿宋" w:cs="Times New Roman"/>
          <w:color w:val="auto"/>
          <w:szCs w:val="28"/>
          <w:lang w:eastAsia="zh-CN"/>
        </w:rPr>
        <w:t>（</w:t>
      </w:r>
      <w:r>
        <w:rPr>
          <w:rFonts w:hint="eastAsia" w:ascii="Times New Roman" w:hAnsi="Times New Roman" w:eastAsia="仿宋" w:cs="Times New Roman"/>
          <w:color w:val="auto"/>
          <w:szCs w:val="28"/>
          <w:lang w:val="en-US" w:eastAsia="zh-CN"/>
        </w:rPr>
        <w:t>2）</w:t>
      </w:r>
      <w:r>
        <w:rPr>
          <w:rFonts w:hint="eastAsia" w:ascii="Times New Roman" w:hAnsi="Times New Roman" w:eastAsia="仿宋" w:cs="Times New Roman"/>
          <w:color w:val="auto"/>
          <w:szCs w:val="28"/>
          <w:lang w:eastAsia="zh-CN"/>
        </w:rPr>
        <w:t>增加污染源切断及控制的应急物资</w:t>
      </w:r>
      <w:r>
        <w:rPr>
          <w:rFonts w:hint="default" w:ascii="Times New Roman" w:hAnsi="Times New Roman" w:eastAsia="仿宋" w:cs="Times New Roman"/>
          <w:color w:val="auto"/>
          <w:szCs w:val="28"/>
        </w:rPr>
        <w:t>。</w:t>
      </w:r>
    </w:p>
    <w:p>
      <w:pPr>
        <w:pStyle w:val="8"/>
        <w:spacing w:line="240" w:lineRule="auto"/>
        <w:ind w:firstLine="560"/>
        <w:rPr>
          <w:rFonts w:hint="default" w:ascii="Times New Roman" w:hAnsi="Times New Roman" w:eastAsia="仿宋" w:cs="Times New Roman"/>
          <w:color w:val="auto"/>
          <w:szCs w:val="28"/>
          <w:lang w:eastAsia="zh-CN"/>
        </w:rPr>
      </w:pPr>
      <w:r>
        <w:rPr>
          <w:rFonts w:hint="eastAsia" w:ascii="Times New Roman" w:hAnsi="Times New Roman" w:eastAsia="仿宋" w:cs="Times New Roman"/>
          <w:color w:val="auto"/>
          <w:szCs w:val="28"/>
          <w:lang w:eastAsia="zh-CN"/>
        </w:rPr>
        <w:t>（</w:t>
      </w:r>
      <w:r>
        <w:rPr>
          <w:rFonts w:hint="eastAsia" w:ascii="Times New Roman" w:hAnsi="Times New Roman" w:eastAsia="仿宋" w:cs="Times New Roman"/>
          <w:color w:val="auto"/>
          <w:szCs w:val="28"/>
          <w:lang w:val="en-US" w:eastAsia="zh-CN"/>
        </w:rPr>
        <w:t>3</w:t>
      </w:r>
      <w:r>
        <w:rPr>
          <w:rFonts w:hint="eastAsia" w:ascii="Times New Roman" w:hAnsi="Times New Roman" w:eastAsia="仿宋" w:cs="Times New Roman"/>
          <w:color w:val="auto"/>
          <w:szCs w:val="28"/>
          <w:lang w:eastAsia="zh-CN"/>
        </w:rPr>
        <w:t>）</w:t>
      </w:r>
      <w:r>
        <w:rPr>
          <w:rFonts w:hint="default" w:ascii="Times New Roman" w:hAnsi="Times New Roman" w:eastAsia="仿宋" w:cs="Times New Roman"/>
          <w:color w:val="auto"/>
          <w:szCs w:val="28"/>
        </w:rPr>
        <w:t>在厂区内设公用广播系统，可以及时将发生的突发环境事件通过高音喇叭播放出去，提醒周边公众紧急疏散</w:t>
      </w:r>
      <w:r>
        <w:rPr>
          <w:rFonts w:hint="default" w:ascii="Times New Roman" w:hAnsi="Times New Roman" w:eastAsia="仿宋" w:cs="Times New Roman"/>
          <w:color w:val="auto"/>
          <w:szCs w:val="28"/>
          <w:lang w:eastAsia="zh-CN"/>
        </w:rPr>
        <w:t>。</w:t>
      </w:r>
    </w:p>
    <w:p>
      <w:pPr>
        <w:pStyle w:val="8"/>
        <w:widowControl w:val="0"/>
        <w:wordWrap/>
        <w:spacing w:line="240" w:lineRule="auto"/>
        <w:ind w:left="0" w:right="0" w:firstLine="200" w:firstLineChars="71"/>
        <w:textAlignment w:val="auto"/>
        <w:outlineLvl w:val="1"/>
        <w:rPr>
          <w:rFonts w:hint="eastAsia" w:ascii="Times New Roman" w:hAnsi="Times New Roman" w:eastAsia="仿宋" w:cs="Times New Roman"/>
          <w:b/>
          <w:bCs/>
          <w:color w:val="auto"/>
          <w:szCs w:val="28"/>
        </w:rPr>
      </w:pPr>
      <w:bookmarkStart w:id="96" w:name="_Toc8933"/>
      <w:r>
        <w:rPr>
          <w:rFonts w:hint="eastAsia" w:ascii="Times New Roman" w:hAnsi="Times New Roman" w:eastAsia="仿宋" w:cs="Times New Roman"/>
          <w:b/>
          <w:bCs/>
          <w:color w:val="auto"/>
          <w:szCs w:val="28"/>
        </w:rPr>
        <w:t>5.</w:t>
      </w:r>
      <w:r>
        <w:rPr>
          <w:rFonts w:hint="eastAsia" w:ascii="Times New Roman" w:hAnsi="Times New Roman" w:eastAsia="仿宋" w:cs="Times New Roman"/>
          <w:b/>
          <w:bCs/>
          <w:color w:val="auto"/>
          <w:szCs w:val="28"/>
          <w:lang w:val="en-US" w:eastAsia="zh-CN"/>
        </w:rPr>
        <w:t>5</w:t>
      </w:r>
      <w:r>
        <w:rPr>
          <w:rFonts w:hint="eastAsia" w:ascii="Times New Roman" w:hAnsi="Times New Roman" w:eastAsia="仿宋" w:cs="Times New Roman"/>
          <w:b/>
          <w:bCs/>
          <w:color w:val="auto"/>
          <w:szCs w:val="28"/>
        </w:rPr>
        <w:t>需要整改的短期、中期和长期项目内容</w:t>
      </w:r>
      <w:bookmarkEnd w:id="96"/>
    </w:p>
    <w:p>
      <w:pPr>
        <w:pStyle w:val="8"/>
        <w:spacing w:line="240" w:lineRule="auto"/>
        <w:ind w:firstLine="560"/>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根据现有风险防范措施存在的问题，提出了以下具体的整改内容，并明确了整改时限，具体内容详见表 5.4-1。</w:t>
      </w:r>
    </w:p>
    <w:p>
      <w:pPr>
        <w:jc w:val="center"/>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bCs/>
          <w:color w:val="auto"/>
          <w:sz w:val="24"/>
          <w:szCs w:val="24"/>
        </w:rPr>
        <w:t>表5.4-1 需要整改的内容和整改期限</w:t>
      </w:r>
    </w:p>
    <w:tbl>
      <w:tblPr>
        <w:tblStyle w:val="21"/>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6835"/>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8"/>
              <w:spacing w:line="240" w:lineRule="auto"/>
              <w:ind w:firstLine="0" w:firstLineChars="0"/>
              <w:jc w:val="center"/>
              <w:rPr>
                <w:rFonts w:hint="eastAsia" w:ascii="Times New Roman" w:eastAsia="仿宋"/>
                <w:b/>
                <w:bCs/>
                <w:color w:val="auto"/>
                <w:sz w:val="21"/>
                <w:szCs w:val="21"/>
              </w:rPr>
            </w:pPr>
            <w:r>
              <w:rPr>
                <w:rFonts w:hint="eastAsia" w:ascii="Times New Roman" w:eastAsia="仿宋"/>
                <w:b/>
                <w:bCs/>
                <w:color w:val="auto"/>
                <w:sz w:val="21"/>
                <w:szCs w:val="21"/>
              </w:rPr>
              <w:t>序号</w:t>
            </w:r>
          </w:p>
        </w:tc>
        <w:tc>
          <w:tcPr>
            <w:tcW w:w="6835" w:type="dxa"/>
            <w:vAlign w:val="center"/>
          </w:tcPr>
          <w:p>
            <w:pPr>
              <w:pStyle w:val="8"/>
              <w:spacing w:line="240" w:lineRule="auto"/>
              <w:ind w:firstLine="0" w:firstLineChars="0"/>
              <w:jc w:val="center"/>
              <w:rPr>
                <w:rFonts w:hint="eastAsia" w:ascii="Times New Roman" w:eastAsia="仿宋"/>
                <w:b/>
                <w:bCs/>
                <w:color w:val="auto"/>
                <w:sz w:val="21"/>
                <w:szCs w:val="21"/>
              </w:rPr>
            </w:pPr>
            <w:r>
              <w:rPr>
                <w:rFonts w:hint="eastAsia" w:ascii="Times New Roman" w:eastAsia="仿宋"/>
                <w:b/>
                <w:bCs/>
                <w:color w:val="auto"/>
                <w:sz w:val="21"/>
                <w:szCs w:val="21"/>
              </w:rPr>
              <w:t>存在问题及需要整改的内容</w:t>
            </w:r>
          </w:p>
        </w:tc>
        <w:tc>
          <w:tcPr>
            <w:tcW w:w="1328" w:type="dxa"/>
            <w:vAlign w:val="center"/>
          </w:tcPr>
          <w:p>
            <w:pPr>
              <w:pStyle w:val="8"/>
              <w:spacing w:line="240" w:lineRule="auto"/>
              <w:ind w:firstLine="0" w:firstLineChars="0"/>
              <w:jc w:val="center"/>
              <w:rPr>
                <w:rFonts w:hint="eastAsia" w:ascii="Times New Roman" w:eastAsia="仿宋"/>
                <w:b/>
                <w:bCs/>
                <w:color w:val="auto"/>
                <w:sz w:val="21"/>
                <w:szCs w:val="21"/>
              </w:rPr>
            </w:pPr>
            <w:r>
              <w:rPr>
                <w:rFonts w:hint="eastAsia" w:ascii="Times New Roman" w:eastAsia="仿宋"/>
                <w:b/>
                <w:bCs/>
                <w:color w:val="auto"/>
                <w:sz w:val="21"/>
                <w:szCs w:val="21"/>
              </w:rPr>
              <w:t>整改期限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rPr>
              <w:t>1</w:t>
            </w:r>
          </w:p>
        </w:tc>
        <w:tc>
          <w:tcPr>
            <w:tcW w:w="6835"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rPr>
              <w:t>环境风险防控和应急措施制度不完善。未明确环境风险防控重点岗位的责任人或责任机构。</w:t>
            </w:r>
          </w:p>
        </w:tc>
        <w:tc>
          <w:tcPr>
            <w:tcW w:w="1328"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rPr>
              <w:t>短期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rPr>
              <w:t>2</w:t>
            </w:r>
          </w:p>
        </w:tc>
        <w:tc>
          <w:tcPr>
            <w:tcW w:w="6835"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rPr>
              <w:t>车间污水处理设施、有机废气处理设施已建设完成，还未</w:t>
            </w:r>
            <w:r>
              <w:rPr>
                <w:rFonts w:hint="eastAsia" w:ascii="Times New Roman" w:eastAsia="仿宋"/>
                <w:color w:val="auto"/>
                <w:sz w:val="21"/>
                <w:szCs w:val="21"/>
                <w:lang w:eastAsia="zh-CN"/>
              </w:rPr>
              <w:t>进行</w:t>
            </w:r>
            <w:r>
              <w:rPr>
                <w:rFonts w:hint="eastAsia" w:ascii="Times New Roman" w:eastAsia="仿宋"/>
                <w:color w:val="auto"/>
                <w:sz w:val="21"/>
                <w:szCs w:val="21"/>
              </w:rPr>
              <w:t>环保验收。</w:t>
            </w:r>
          </w:p>
        </w:tc>
        <w:tc>
          <w:tcPr>
            <w:tcW w:w="1328"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rPr>
              <w:t>短期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rPr>
              <w:t>3</w:t>
            </w:r>
          </w:p>
        </w:tc>
        <w:tc>
          <w:tcPr>
            <w:tcW w:w="6835"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lang w:eastAsia="zh-CN"/>
              </w:rPr>
              <w:t>尚</w:t>
            </w:r>
            <w:r>
              <w:rPr>
                <w:rFonts w:hint="eastAsia" w:ascii="Times New Roman" w:eastAsia="仿宋"/>
                <w:color w:val="auto"/>
                <w:sz w:val="21"/>
                <w:szCs w:val="21"/>
              </w:rPr>
              <w:t>未组织环境风险和环境风险应急知识宣传与培训。</w:t>
            </w:r>
          </w:p>
        </w:tc>
        <w:tc>
          <w:tcPr>
            <w:tcW w:w="1328"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rPr>
              <w:t>短期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rPr>
              <w:t>4</w:t>
            </w:r>
          </w:p>
        </w:tc>
        <w:tc>
          <w:tcPr>
            <w:tcW w:w="6835"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rPr>
              <w:t>没有专人负责处理事故排水的收集，但受污染的消防废水可溢流入雨水排放沟。由于事故池与雨水管道的切换系统完备，消防废水会通过雨水系统排入事故池。</w:t>
            </w:r>
          </w:p>
        </w:tc>
        <w:tc>
          <w:tcPr>
            <w:tcW w:w="1328"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rPr>
              <w:t>短期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rPr>
              <w:t>5</w:t>
            </w:r>
          </w:p>
        </w:tc>
        <w:tc>
          <w:tcPr>
            <w:tcW w:w="6835"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rPr>
              <w:t>目前企业未设提醒周边公众紧急疏散的措施和手段等，未确定专人负责。</w:t>
            </w:r>
          </w:p>
        </w:tc>
        <w:tc>
          <w:tcPr>
            <w:tcW w:w="1328" w:type="dxa"/>
            <w:vAlign w:val="center"/>
          </w:tcPr>
          <w:p>
            <w:pPr>
              <w:pStyle w:val="8"/>
              <w:spacing w:line="240" w:lineRule="auto"/>
              <w:ind w:firstLine="0" w:firstLineChars="0"/>
              <w:jc w:val="center"/>
              <w:rPr>
                <w:rFonts w:hint="eastAsia" w:ascii="Times New Roman" w:eastAsia="仿宋"/>
                <w:color w:val="auto"/>
                <w:sz w:val="21"/>
                <w:szCs w:val="21"/>
              </w:rPr>
            </w:pPr>
            <w:r>
              <w:rPr>
                <w:rFonts w:hint="eastAsia" w:ascii="Times New Roman" w:eastAsia="仿宋"/>
                <w:color w:val="auto"/>
                <w:sz w:val="21"/>
                <w:szCs w:val="21"/>
              </w:rPr>
              <w:t>短期</w:t>
            </w:r>
          </w:p>
        </w:tc>
      </w:tr>
    </w:tbl>
    <w:p>
      <w:pPr>
        <w:keepNext/>
        <w:keepLines/>
        <w:widowControl w:val="0"/>
        <w:adjustRightInd w:val="0"/>
        <w:snapToGrid w:val="0"/>
        <w:spacing w:beforeLines="50" w:afterLines="50" w:line="240" w:lineRule="auto"/>
        <w:ind w:left="0"/>
        <w:jc w:val="both"/>
        <w:outlineLvl w:val="9"/>
        <w:rPr>
          <w:rFonts w:hint="eastAsia" w:ascii="Times New Roman"/>
          <w:color w:val="auto"/>
          <w:sz w:val="21"/>
          <w:szCs w:val="21"/>
          <w:lang w:eastAsia="zh-CN"/>
        </w:rPr>
      </w:pPr>
      <w:bookmarkStart w:id="97" w:name="_Toc516436387"/>
      <w:r>
        <w:rPr>
          <w:rFonts w:ascii="Times New Roman" w:eastAsia="仿宋"/>
          <w:color w:val="auto"/>
          <w:sz w:val="21"/>
          <w:szCs w:val="21"/>
        </w:rPr>
        <w:t>注：短期为3个月，中期为3-6个月，长期6个月以上</w:t>
      </w:r>
      <w:r>
        <w:rPr>
          <w:rFonts w:hint="eastAsia" w:ascii="Times New Roman"/>
          <w:color w:val="auto"/>
          <w:sz w:val="21"/>
          <w:szCs w:val="21"/>
          <w:lang w:eastAsia="zh-CN"/>
        </w:rPr>
        <w:t>。</w:t>
      </w:r>
    </w:p>
    <w:p>
      <w:pPr>
        <w:pStyle w:val="8"/>
        <w:spacing w:line="360" w:lineRule="auto"/>
        <w:ind w:firstLine="200" w:firstLineChars="71"/>
        <w:outlineLvl w:val="1"/>
        <w:rPr>
          <w:rFonts w:hint="eastAsia" w:ascii="Times New Roman" w:hAnsi="Times New Roman" w:eastAsia="仿宋" w:cs="Times New Roman"/>
          <w:b/>
          <w:bCs/>
          <w:color w:val="auto"/>
          <w:szCs w:val="28"/>
        </w:rPr>
      </w:pPr>
      <w:bookmarkStart w:id="98" w:name="_Toc7628"/>
      <w:r>
        <w:rPr>
          <w:rFonts w:hint="eastAsia" w:ascii="Times New Roman" w:hAnsi="Times New Roman" w:eastAsia="仿宋" w:cs="Times New Roman"/>
          <w:b/>
          <w:bCs/>
          <w:color w:val="auto"/>
          <w:szCs w:val="28"/>
          <w:lang w:val="en-US" w:eastAsia="zh-CN"/>
        </w:rPr>
        <w:t>5.6 完善环境风险防控与应急措施的实施计划</w:t>
      </w:r>
      <w:bookmarkEnd w:id="98"/>
      <w:r>
        <w:rPr>
          <w:rFonts w:hint="eastAsia" w:ascii="Times New Roman" w:hAnsi="Times New Roman" w:eastAsia="仿宋" w:cs="Times New Roman"/>
          <w:b/>
          <w:bCs/>
          <w:color w:val="auto"/>
          <w:szCs w:val="28"/>
          <w:lang w:val="en-US" w:eastAsia="zh-CN"/>
        </w:rPr>
        <w:t xml:space="preserve"> </w:t>
      </w:r>
    </w:p>
    <w:p>
      <w:pPr>
        <w:widowControl w:val="0"/>
        <w:wordWrap/>
        <w:adjustRightInd/>
        <w:snapToGrid/>
        <w:spacing w:line="240" w:lineRule="auto"/>
        <w:ind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 xml:space="preserve">为确保应急响应的顺利实施，公司从应急管理制度、应急队伍建设、应急物资储备、经费和保险等多个方面，做出详细计划，使应急 救援行动快速有效、人员伤亡和财产损失最小，达到客观情况容许的最佳结果。 </w:t>
      </w:r>
    </w:p>
    <w:p>
      <w:pPr>
        <w:widowControl w:val="0"/>
        <w:wordWrap/>
        <w:adjustRightInd/>
        <w:snapToGrid/>
        <w:spacing w:line="240" w:lineRule="auto"/>
        <w:ind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 xml:space="preserve">针对公司应急能力不足之处，做出以下调整计划： </w:t>
      </w:r>
    </w:p>
    <w:p>
      <w:pPr>
        <w:widowControl w:val="0"/>
        <w:wordWrap/>
        <w:adjustRightInd/>
        <w:snapToGrid/>
        <w:spacing w:line="240" w:lineRule="auto"/>
        <w:ind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 xml:space="preserve">1）强化员工环境保护意识培训，利用班前会、班组学习、“六五”世界环境日开展环境保护意识的培训工作。 </w:t>
      </w:r>
    </w:p>
    <w:p>
      <w:pPr>
        <w:widowControl w:val="0"/>
        <w:wordWrap/>
        <w:adjustRightInd/>
        <w:snapToGrid/>
        <w:spacing w:line="240" w:lineRule="auto"/>
        <w:ind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 xml:space="preserve">2）编制环保设施管理制度，明确环保设施的日常运行、日常维护职责，建立环境设施运行、维护台帐。 </w:t>
      </w:r>
    </w:p>
    <w:p>
      <w:pPr>
        <w:widowControl w:val="0"/>
        <w:wordWrap/>
        <w:adjustRightInd/>
        <w:snapToGrid/>
        <w:spacing w:line="240" w:lineRule="auto"/>
        <w:ind w:firstLine="48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 xml:space="preserve">3）尽快完善雨水排放口封堵措施，防止受到污染的雨水和事故水进入雨水系统。制定相应管理规定，将岗位职责落实到个人。 </w:t>
      </w:r>
    </w:p>
    <w:p>
      <w:pPr>
        <w:widowControl w:val="0"/>
        <w:wordWrap/>
        <w:adjustRightInd/>
        <w:snapToGrid/>
        <w:spacing w:line="240" w:lineRule="auto"/>
        <w:ind w:firstLine="480" w:firstLineChars="200"/>
        <w:jc w:val="both"/>
        <w:textAlignment w:val="auto"/>
        <w:rPr>
          <w:color w:val="auto"/>
        </w:rPr>
      </w:pPr>
      <w:r>
        <w:rPr>
          <w:rFonts w:hint="default" w:ascii="Times New Roman" w:hAnsi="Times New Roman" w:eastAsia="仿宋" w:cs="Times New Roman"/>
          <w:color w:val="auto"/>
          <w:sz w:val="24"/>
          <w:szCs w:val="24"/>
          <w:lang w:val="en-US" w:eastAsia="zh-CN"/>
        </w:rPr>
        <w:t>4）建立完善突发环境事件信息报告制</w:t>
      </w:r>
      <w:r>
        <w:rPr>
          <w:rFonts w:hint="eastAsia"/>
          <w:color w:val="auto"/>
          <w:lang w:val="en-US" w:eastAsia="zh-CN"/>
        </w:rPr>
        <w:t xml:space="preserve">度。 </w:t>
      </w:r>
    </w:p>
    <w:p>
      <w:pPr>
        <w:pStyle w:val="4"/>
        <w:keepNext/>
        <w:keepLines/>
        <w:widowControl w:val="0"/>
        <w:wordWrap/>
        <w:adjustRightInd w:val="0"/>
        <w:snapToGrid w:val="0"/>
        <w:spacing w:beforeAutospacing="0" w:line="360" w:lineRule="auto"/>
        <w:ind w:left="0"/>
        <w:jc w:val="both"/>
        <w:textAlignment w:val="auto"/>
        <w:outlineLvl w:val="0"/>
        <w:rPr>
          <w:rFonts w:hint="default" w:ascii="Times New Roman" w:hAnsi="Times New Roman" w:eastAsia="仿宋" w:cs="Times New Roman"/>
          <w:b/>
          <w:color w:val="auto"/>
          <w:sz w:val="32"/>
          <w:szCs w:val="32"/>
        </w:rPr>
      </w:pPr>
      <w:bookmarkStart w:id="99" w:name="_Toc21347"/>
      <w:r>
        <w:rPr>
          <w:rFonts w:hint="default" w:ascii="Times New Roman" w:hAnsi="Times New Roman" w:eastAsia="仿宋" w:cs="Times New Roman"/>
          <w:b/>
          <w:color w:val="auto"/>
          <w:sz w:val="32"/>
          <w:szCs w:val="32"/>
        </w:rPr>
        <w:t>6企业突发环境事件风险等级</w:t>
      </w:r>
      <w:bookmarkEnd w:id="97"/>
      <w:bookmarkEnd w:id="99"/>
    </w:p>
    <w:p>
      <w:pPr>
        <w:pStyle w:val="5"/>
        <w:keepNext/>
        <w:keepLines/>
        <w:widowControl w:val="0"/>
        <w:wordWrap/>
        <w:adjustRightInd w:val="0"/>
        <w:snapToGrid w:val="0"/>
        <w:spacing w:before="0" w:beforeAutospacing="0" w:line="360" w:lineRule="auto"/>
        <w:ind w:left="0"/>
        <w:jc w:val="both"/>
        <w:textAlignment w:val="auto"/>
        <w:rPr>
          <w:rFonts w:hint="default" w:ascii="Times New Roman" w:hAnsi="Times New Roman" w:eastAsia="仿宋" w:cs="Times New Roman"/>
          <w:b/>
          <w:color w:val="auto"/>
          <w:sz w:val="30"/>
          <w:szCs w:val="30"/>
        </w:rPr>
      </w:pPr>
      <w:bookmarkStart w:id="100" w:name="_Toc25901"/>
      <w:bookmarkStart w:id="101" w:name="_Toc516436388"/>
      <w:r>
        <w:rPr>
          <w:rFonts w:hint="default" w:ascii="Times New Roman" w:hAnsi="Times New Roman" w:eastAsia="仿宋" w:cs="Times New Roman"/>
          <w:b/>
          <w:color w:val="auto"/>
          <w:sz w:val="30"/>
          <w:szCs w:val="30"/>
        </w:rPr>
        <w:t>6.1企业突发环境事件分级程序</w:t>
      </w:r>
      <w:bookmarkEnd w:id="100"/>
      <w:bookmarkEnd w:id="101"/>
    </w:p>
    <w:p>
      <w:pPr>
        <w:widowControl w:val="0"/>
        <w:wordWrap/>
        <w:adjustRightInd/>
        <w:snapToGrid/>
        <w:spacing w:line="240" w:lineRule="auto"/>
        <w:ind w:firstLine="480" w:firstLineChars="200"/>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根据《企业突发环境事件风险分级方法》（HJ 941-2018），企业突发环境事件分级程序见图6.1-1。</w:t>
      </w:r>
    </w:p>
    <w:p>
      <w:pPr>
        <w:adjustRightInd w:val="0"/>
        <w:snapToGrid w:val="0"/>
        <w:rPr>
          <w:rFonts w:hint="eastAsia" w:ascii="仿宋" w:hAnsi="仿宋" w:eastAsia="仿宋" w:cs="仿宋"/>
          <w:color w:val="auto"/>
        </w:rPr>
      </w:pPr>
      <w:r>
        <w:rPr>
          <w:rFonts w:hint="eastAsia" w:ascii="仿宋" w:hAnsi="仿宋" w:eastAsia="仿宋" w:cs="仿宋"/>
          <w:color w:val="auto"/>
          <w:kern w:val="2"/>
          <w:sz w:val="21"/>
          <w:szCs w:val="22"/>
          <w:lang w:val="en-US" w:eastAsia="zh-CN" w:bidi="ar-SA"/>
        </w:rPr>
        <w:pict>
          <v:rect id="文本框19" o:spid="_x0000_s1115" o:spt="1" style="position:absolute;left:0pt;margin-left:149.65pt;margin-top:11.9pt;height:23.95pt;width:139.25pt;z-index:251663360;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inset="0mm,0mm,0mm,0mm">
              <w:txbxContent>
                <w:p>
                  <w:pPr>
                    <w:jc w:val="center"/>
                    <w:rPr>
                      <w:rFonts w:hint="eastAsia" w:ascii="仿宋" w:hAnsi="仿宋" w:eastAsia="仿宋" w:cs="仿宋"/>
                      <w:sz w:val="21"/>
                      <w:szCs w:val="21"/>
                    </w:rPr>
                  </w:pPr>
                  <w:r>
                    <w:rPr>
                      <w:rFonts w:hint="eastAsia" w:ascii="仿宋" w:hAnsi="仿宋" w:eastAsia="仿宋" w:cs="仿宋"/>
                      <w:kern w:val="0"/>
                      <w:sz w:val="21"/>
                      <w:szCs w:val="21"/>
                    </w:rPr>
                    <w:t>企业基本情况调查与分析</w:t>
                  </w:r>
                </w:p>
              </w:txbxContent>
            </v:textbox>
          </v:rect>
        </w:pict>
      </w:r>
    </w:p>
    <w:p>
      <w:pPr>
        <w:adjustRightInd w:val="0"/>
        <w:snapToGrid w:val="0"/>
        <w:rPr>
          <w:rFonts w:hint="eastAsia" w:ascii="仿宋" w:hAnsi="仿宋" w:eastAsia="仿宋" w:cs="仿宋"/>
          <w:color w:val="auto"/>
        </w:rPr>
      </w:pPr>
    </w:p>
    <w:p>
      <w:pPr>
        <w:adjustRightInd w:val="0"/>
        <w:snapToGrid w:val="0"/>
        <w:rPr>
          <w:rFonts w:hint="eastAsia" w:ascii="仿宋" w:hAnsi="仿宋" w:eastAsia="仿宋" w:cs="仿宋"/>
          <w:color w:val="auto"/>
        </w:rPr>
      </w:pPr>
      <w:r>
        <w:rPr>
          <w:rFonts w:hint="eastAsia" w:ascii="仿宋" w:hAnsi="仿宋" w:eastAsia="仿宋" w:cs="仿宋"/>
          <w:color w:val="auto"/>
          <w:kern w:val="2"/>
          <w:sz w:val="21"/>
          <w:szCs w:val="22"/>
          <w:lang w:val="en-US" w:eastAsia="zh-CN" w:bidi="ar-SA"/>
        </w:rPr>
        <w:pict>
          <v:line id="线条33" o:spid="_x0000_s1116" o:spt="20" style="position:absolute;left:0pt;margin-left:218.65pt;margin-top:4.75pt;height:17.7pt;width:0.05pt;z-index:251661312;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p>
    <w:p>
      <w:pPr>
        <w:adjustRightInd w:val="0"/>
        <w:snapToGrid w:val="0"/>
        <w:rPr>
          <w:rFonts w:hint="eastAsia" w:ascii="仿宋" w:hAnsi="仿宋" w:eastAsia="仿宋" w:cs="仿宋"/>
          <w:color w:val="auto"/>
        </w:rPr>
      </w:pPr>
      <w:r>
        <w:rPr>
          <w:rFonts w:hint="eastAsia" w:ascii="仿宋" w:hAnsi="仿宋" w:eastAsia="仿宋" w:cs="仿宋"/>
          <w:color w:val="auto"/>
          <w:kern w:val="2"/>
          <w:sz w:val="21"/>
          <w:szCs w:val="22"/>
          <w:lang w:val="en-US" w:eastAsia="zh-CN" w:bidi="ar-SA"/>
        </w:rPr>
        <w:pict>
          <v:shape id="自选图形 988" o:spid="_x0000_s1117" o:spt="110" type="#_x0000_t110" style="position:absolute;left:0pt;margin-left:82.8pt;margin-top:9.1pt;height:75.4pt;width:270.15pt;z-index:251665408;mso-width-relative:page;mso-height-relative:page;" fillcolor="#FFFFFF" filled="t" o:preferrelative="t" stroked="t" coordsize="21600,21600">
            <v:path/>
            <v:fill on="t" focussize="0,0"/>
            <v:stroke weight="0.05pt" color="#000000" color2="#FFFFFF" miterlimit="2"/>
            <v:imagedata gain="65536f" blacklevel="0f" gamma="0" o:title=""/>
            <o:lock v:ext="edit" position="f" selection="f" grouping="f" rotation="f" cropping="f" text="f" aspectratio="f"/>
            <v:textbox inset="2.8pt,2.8pt,2.8pt,2.8pt">
              <w:txbxContent>
                <w:p>
                  <w:pPr>
                    <w:rPr>
                      <w:rFonts w:hint="eastAsia" w:ascii="仿宋" w:hAnsi="仿宋" w:eastAsia="仿宋" w:cs="仿宋"/>
                      <w:sz w:val="21"/>
                      <w:szCs w:val="21"/>
                    </w:rPr>
                  </w:pPr>
                  <w:r>
                    <w:rPr>
                      <w:rFonts w:hint="eastAsia" w:ascii="仿宋" w:hAnsi="仿宋" w:eastAsia="仿宋" w:cs="仿宋"/>
                      <w:sz w:val="21"/>
                      <w:szCs w:val="21"/>
                    </w:rPr>
                    <w:t>计算涉气（或水）风险物质数量与其临界量比值（Q）</w:t>
                  </w:r>
                </w:p>
              </w:txbxContent>
            </v:textbox>
          </v:shape>
        </w:pict>
      </w:r>
    </w:p>
    <w:p>
      <w:pPr>
        <w:adjustRightInd w:val="0"/>
        <w:snapToGrid w:val="0"/>
        <w:rPr>
          <w:rFonts w:hint="eastAsia" w:ascii="仿宋" w:hAnsi="仿宋" w:eastAsia="仿宋" w:cs="仿宋"/>
          <w:color w:val="auto"/>
        </w:rPr>
      </w:pPr>
      <w:r>
        <w:rPr>
          <w:rFonts w:hint="eastAsia" w:ascii="仿宋" w:hAnsi="仿宋" w:eastAsia="仿宋" w:cs="仿宋"/>
          <w:color w:val="auto"/>
          <w:kern w:val="2"/>
          <w:sz w:val="21"/>
          <w:szCs w:val="22"/>
          <w:lang w:val="en-US" w:eastAsia="zh-CN" w:bidi="ar-SA"/>
        </w:rPr>
        <w:pict>
          <v:rect id="文本框 989" o:spid="_x0000_s1118" o:spt="1" style="position:absolute;left:0pt;margin-left:24.4pt;margin-top:2.85pt;height:25.25pt;width:72.5pt;z-index:25166745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2.54mm,9.35pt,2.54mm,1.27mm">
              <w:txbxContent>
                <w:p>
                  <w:pPr>
                    <w:jc w:val="center"/>
                    <w:rPr>
                      <w:rFonts w:hint="eastAsia" w:ascii="仿宋" w:hAnsi="仿宋" w:eastAsia="仿宋" w:cs="仿宋"/>
                      <w:sz w:val="21"/>
                      <w:szCs w:val="21"/>
                    </w:rPr>
                  </w:pPr>
                  <w:r>
                    <w:rPr>
                      <w:rFonts w:hint="eastAsia" w:ascii="仿宋" w:hAnsi="仿宋" w:eastAsia="仿宋" w:cs="仿宋"/>
                      <w:kern w:val="0"/>
                      <w:sz w:val="21"/>
                      <w:szCs w:val="21"/>
                    </w:rPr>
                    <w:t>Q＜1</w:t>
                  </w:r>
                </w:p>
              </w:txbxContent>
            </v:textbox>
          </v:rect>
        </w:pict>
      </w:r>
    </w:p>
    <w:p>
      <w:pPr>
        <w:adjustRightInd w:val="0"/>
        <w:snapToGrid w:val="0"/>
        <w:rPr>
          <w:rFonts w:hint="eastAsia" w:ascii="仿宋" w:hAnsi="仿宋" w:eastAsia="仿宋" w:cs="仿宋"/>
          <w:color w:val="auto"/>
        </w:rPr>
      </w:pPr>
    </w:p>
    <w:p>
      <w:pPr>
        <w:adjustRightInd w:val="0"/>
        <w:snapToGrid w:val="0"/>
        <w:rPr>
          <w:rFonts w:hint="eastAsia" w:ascii="仿宋" w:hAnsi="仿宋" w:eastAsia="仿宋" w:cs="仿宋"/>
          <w:color w:val="auto"/>
        </w:rPr>
      </w:pPr>
      <w:r>
        <w:rPr>
          <w:rFonts w:hint="eastAsia" w:ascii="仿宋" w:hAnsi="仿宋" w:eastAsia="仿宋" w:cs="仿宋"/>
          <w:color w:val="auto"/>
          <w:kern w:val="2"/>
          <w:sz w:val="21"/>
          <w:szCs w:val="22"/>
          <w:lang w:val="en-US" w:eastAsia="zh-CN" w:bidi="ar-SA"/>
        </w:rPr>
        <w:pict>
          <v:line id="线条32" o:spid="_x0000_s1119" o:spt="20" style="position:absolute;left:0pt;margin-left:33.2pt;margin-top:6.2pt;height:272.75pt;width:1.85pt;z-index:251662336;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hint="eastAsia" w:ascii="仿宋" w:hAnsi="仿宋" w:eastAsia="仿宋" w:cs="仿宋"/>
          <w:color w:val="auto"/>
          <w:kern w:val="2"/>
          <w:sz w:val="21"/>
          <w:szCs w:val="22"/>
          <w:lang w:val="en-US" w:eastAsia="zh-CN" w:bidi="ar-SA"/>
        </w:rPr>
        <w:pict>
          <v:line id="直线 991" o:spid="_x0000_s1120" o:spt="20" style="position:absolute;left:0pt;flip:y;margin-left:32.8pt;margin-top:6.65pt;height:0.7pt;width:49.7pt;z-index:251666432;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hint="eastAsia" w:ascii="仿宋" w:hAnsi="仿宋" w:eastAsia="仿宋" w:cs="仿宋"/>
          <w:color w:val="auto"/>
          <w:kern w:val="2"/>
          <w:sz w:val="21"/>
          <w:szCs w:val="22"/>
          <w:lang w:val="en-US" w:eastAsia="zh-CN" w:bidi="ar-SA"/>
        </w:rPr>
        <w:pict>
          <v:line id="线条19" o:spid="_x0000_s1121" o:spt="20" style="position:absolute;left:0pt;margin-left:197.65pt;margin-top:4.7pt;height:0.05pt;width:21pt;z-index:251664384;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p>
    <w:p>
      <w:pPr>
        <w:adjustRightInd w:val="0"/>
        <w:snapToGrid w:val="0"/>
        <w:rPr>
          <w:rFonts w:hint="eastAsia" w:ascii="仿宋" w:hAnsi="仿宋" w:eastAsia="仿宋" w:cs="仿宋"/>
          <w:color w:val="auto"/>
        </w:rPr>
      </w:pPr>
    </w:p>
    <w:p>
      <w:pPr>
        <w:adjustRightInd w:val="0"/>
        <w:snapToGrid w:val="0"/>
        <w:rPr>
          <w:rFonts w:hint="eastAsia" w:ascii="仿宋" w:hAnsi="仿宋" w:eastAsia="仿宋" w:cs="仿宋"/>
          <w:color w:val="auto"/>
        </w:rPr>
      </w:pPr>
    </w:p>
    <w:p>
      <w:pPr>
        <w:adjustRightInd w:val="0"/>
        <w:snapToGrid w:val="0"/>
        <w:rPr>
          <w:rFonts w:hint="eastAsia" w:ascii="仿宋" w:hAnsi="仿宋" w:eastAsia="仿宋" w:cs="仿宋"/>
          <w:color w:val="auto"/>
        </w:rPr>
      </w:pPr>
      <w:r>
        <w:rPr>
          <w:rFonts w:hint="eastAsia" w:ascii="仿宋" w:hAnsi="仿宋" w:eastAsia="仿宋" w:cs="仿宋"/>
          <w:color w:val="auto"/>
          <w:kern w:val="2"/>
          <w:sz w:val="21"/>
          <w:szCs w:val="22"/>
          <w:lang w:val="en-US" w:eastAsia="zh-CN" w:bidi="ar-SA"/>
        </w:rPr>
        <w:pict>
          <v:rect id="文本框 993" o:spid="_x0000_s1122" o:spt="1" style="position:absolute;left:0pt;margin-left:220.1pt;margin-top:3.3pt;height:32.95pt;width:67.2pt;z-index:25166950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2.54mm,9.35pt,2.54mm,1.27mm">
              <w:txbxContent>
                <w:p>
                  <w:pPr>
                    <w:jc w:val="center"/>
                    <w:rPr>
                      <w:rFonts w:hint="eastAsia" w:ascii="仿宋" w:hAnsi="仿宋" w:eastAsia="仿宋" w:cs="仿宋"/>
                      <w:sz w:val="21"/>
                      <w:szCs w:val="21"/>
                    </w:rPr>
                  </w:pPr>
                  <w:r>
                    <w:rPr>
                      <w:rFonts w:hint="eastAsia" w:ascii="仿宋" w:hAnsi="仿宋" w:eastAsia="仿宋" w:cs="仿宋"/>
                      <w:kern w:val="0"/>
                      <w:sz w:val="21"/>
                      <w:szCs w:val="21"/>
                    </w:rPr>
                    <w:t>Q≥1</w:t>
                  </w:r>
                </w:p>
              </w:txbxContent>
            </v:textbox>
          </v:rect>
        </w:pict>
      </w:r>
      <w:r>
        <w:rPr>
          <w:rFonts w:hint="eastAsia" w:ascii="仿宋" w:hAnsi="仿宋" w:eastAsia="仿宋" w:cs="仿宋"/>
          <w:color w:val="auto"/>
          <w:kern w:val="2"/>
          <w:sz w:val="21"/>
          <w:szCs w:val="22"/>
          <w:lang w:val="en-US" w:eastAsia="zh-CN" w:bidi="ar-SA"/>
        </w:rPr>
        <w:pict>
          <v:line id="直线 994" o:spid="_x0000_s1123" o:spt="20" style="position:absolute;left:0pt;margin-left:218.25pt;margin-top:3.1pt;height:34.95pt;width:0.95pt;z-index:251668480;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p>
    <w:p>
      <w:pPr>
        <w:adjustRightInd w:val="0"/>
        <w:snapToGrid w:val="0"/>
        <w:rPr>
          <w:rFonts w:hint="eastAsia" w:ascii="仿宋" w:hAnsi="仿宋" w:eastAsia="仿宋" w:cs="仿宋"/>
          <w:color w:val="auto"/>
        </w:rPr>
      </w:pPr>
    </w:p>
    <w:p>
      <w:pPr>
        <w:adjustRightInd w:val="0"/>
        <w:snapToGrid w:val="0"/>
        <w:rPr>
          <w:rFonts w:hint="eastAsia" w:ascii="仿宋" w:hAnsi="仿宋" w:eastAsia="仿宋" w:cs="仿宋"/>
          <w:color w:val="auto"/>
        </w:rPr>
      </w:pPr>
      <w:r>
        <w:rPr>
          <w:rFonts w:ascii="Calibri" w:hAnsi="Calibri" w:eastAsia="宋体" w:cs="黑体"/>
          <w:color w:val="auto"/>
          <w:kern w:val="2"/>
          <w:sz w:val="21"/>
          <w:szCs w:val="22"/>
          <w:lang w:val="en-US" w:eastAsia="zh-CN" w:bidi="ar-SA"/>
        </w:rPr>
        <w:pict>
          <v:rect id="矩形 46" o:spid="_x0000_s1124" o:spt="1" style="position:absolute;left:0pt;margin-left:41.5pt;margin-top:9.75pt;height:74pt;width:355pt;z-index:251660288;mso-width-relative:page;mso-height-relative:page;" fillcolor="#FFFFFF" filled="f" o:preferrelative="t" stroked="t" coordsize="21600,21600">
            <v:path/>
            <v:fill on="f" color2="#FFFFFF" focussize="0,0"/>
            <v:stroke color="#000000" color2="#FFFFFF" miterlimit="2" dashstyle="1 1" endcap="square"/>
            <v:imagedata gain="65536f" blacklevel="0f" gamma="0" o:title=""/>
            <o:lock v:ext="edit" position="f" selection="f" grouping="f" rotation="f" cropping="f" text="f" aspectratio="f"/>
          </v:rect>
        </w:pict>
      </w:r>
    </w:p>
    <w:p>
      <w:pPr>
        <w:adjustRightInd w:val="0"/>
        <w:snapToGrid w:val="0"/>
        <w:rPr>
          <w:rFonts w:hint="eastAsia" w:ascii="仿宋" w:hAnsi="仿宋" w:eastAsia="仿宋" w:cs="仿宋"/>
          <w:color w:val="auto"/>
        </w:rPr>
      </w:pPr>
    </w:p>
    <w:p>
      <w:pPr>
        <w:adjustRightInd w:val="0"/>
        <w:snapToGrid w:val="0"/>
        <w:rPr>
          <w:rFonts w:hint="eastAsia" w:ascii="仿宋" w:hAnsi="仿宋" w:eastAsia="仿宋" w:cs="仿宋"/>
          <w:color w:val="auto"/>
        </w:rPr>
      </w:pPr>
      <w:r>
        <w:rPr>
          <w:rFonts w:hint="eastAsia" w:ascii="仿宋" w:hAnsi="仿宋" w:eastAsia="仿宋" w:cs="仿宋"/>
          <w:color w:val="auto"/>
          <w:kern w:val="2"/>
          <w:sz w:val="21"/>
          <w:szCs w:val="22"/>
          <w:lang w:val="en-US" w:eastAsia="zh-CN" w:bidi="ar-SA"/>
        </w:rPr>
        <w:pict>
          <v:rect id="文本框 995" o:spid="_x0000_s1125" o:spt="1" style="position:absolute;left:0pt;margin-left:288.9pt;margin-top:1.35pt;height:42.8pt;width:86.25pt;z-index:251672576;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inset="0mm,0mm,0mm,0mm">
              <w:txbxContent>
                <w:p>
                  <w:pPr>
                    <w:jc w:val="center"/>
                    <w:rPr>
                      <w:rFonts w:hint="eastAsia" w:ascii="仿宋" w:hAnsi="仿宋" w:eastAsia="仿宋" w:cs="仿宋"/>
                      <w:sz w:val="21"/>
                      <w:szCs w:val="21"/>
                    </w:rPr>
                  </w:pPr>
                  <w:r>
                    <w:rPr>
                      <w:rFonts w:hint="eastAsia" w:ascii="仿宋" w:hAnsi="仿宋" w:eastAsia="仿宋" w:cs="仿宋"/>
                      <w:kern w:val="0"/>
                      <w:sz w:val="21"/>
                      <w:szCs w:val="21"/>
                    </w:rPr>
                    <w:t>大气（或水）环境风险受体敏感程度（E）</w:t>
                  </w:r>
                </w:p>
              </w:txbxContent>
            </v:textbox>
          </v:rect>
        </w:pict>
      </w:r>
      <w:r>
        <w:rPr>
          <w:rFonts w:hint="eastAsia" w:ascii="仿宋" w:hAnsi="仿宋" w:eastAsia="仿宋" w:cs="仿宋"/>
          <w:color w:val="auto"/>
          <w:kern w:val="2"/>
          <w:sz w:val="21"/>
          <w:szCs w:val="22"/>
          <w:lang w:val="en-US" w:eastAsia="zh-CN" w:bidi="ar-SA"/>
        </w:rPr>
        <w:pict>
          <v:rect id="文本框 996" o:spid="_x0000_s1126" o:spt="1" style="position:absolute;left:0pt;margin-left:172.45pt;margin-top:2pt;height:43.65pt;width:92.85pt;z-index:251671552;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inset="0mm,0mm,0mm,0mm">
              <w:txbxContent>
                <w:p>
                  <w:pPr>
                    <w:jc w:val="center"/>
                    <w:rPr>
                      <w:rFonts w:hint="eastAsia" w:ascii="仿宋" w:hAnsi="仿宋" w:eastAsia="仿宋" w:cs="仿宋"/>
                      <w:sz w:val="21"/>
                      <w:szCs w:val="21"/>
                    </w:rPr>
                  </w:pPr>
                  <w:r>
                    <w:rPr>
                      <w:rFonts w:hint="eastAsia" w:ascii="仿宋" w:hAnsi="仿宋" w:eastAsia="仿宋" w:cs="仿宋"/>
                      <w:kern w:val="0"/>
                      <w:sz w:val="21"/>
                      <w:szCs w:val="21"/>
                    </w:rPr>
                    <w:t>涉气（或水）风险物质数量与临界量比值（Q）</w:t>
                  </w:r>
                </w:p>
              </w:txbxContent>
            </v:textbox>
          </v:rect>
        </w:pict>
      </w:r>
      <w:r>
        <w:rPr>
          <w:rFonts w:hint="eastAsia" w:ascii="仿宋" w:hAnsi="仿宋" w:eastAsia="仿宋" w:cs="仿宋"/>
          <w:color w:val="auto"/>
          <w:kern w:val="2"/>
          <w:sz w:val="21"/>
          <w:szCs w:val="22"/>
          <w:lang w:val="en-US" w:eastAsia="zh-CN" w:bidi="ar-SA"/>
        </w:rPr>
        <w:pict>
          <v:rect id="文本框 997" o:spid="_x0000_s1127" o:spt="1" style="position:absolute;left:0pt;margin-left:60.3pt;margin-top:1.55pt;height:43.45pt;width:100.3pt;z-index:251670528;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inset="0mm,0mm,0mm,0mm">
              <w:txbxContent>
                <w:p>
                  <w:pPr>
                    <w:jc w:val="center"/>
                    <w:rPr>
                      <w:rFonts w:hint="eastAsia" w:ascii="仿宋" w:hAnsi="仿宋" w:eastAsia="仿宋" w:cs="仿宋"/>
                      <w:sz w:val="21"/>
                      <w:szCs w:val="21"/>
                    </w:rPr>
                  </w:pPr>
                  <w:r>
                    <w:rPr>
                      <w:rFonts w:hint="eastAsia" w:ascii="仿宋" w:hAnsi="仿宋" w:eastAsia="仿宋" w:cs="仿宋"/>
                      <w:kern w:val="0"/>
                      <w:sz w:val="21"/>
                      <w:szCs w:val="21"/>
                    </w:rPr>
                    <w:t>生产工艺过程与大气（或水）环境风险控制水平（M）</w:t>
                  </w:r>
                </w:p>
              </w:txbxContent>
            </v:textbox>
          </v:rect>
        </w:pict>
      </w:r>
    </w:p>
    <w:p>
      <w:pPr>
        <w:adjustRightInd w:val="0"/>
        <w:snapToGrid w:val="0"/>
        <w:rPr>
          <w:rFonts w:hint="eastAsia" w:ascii="仿宋" w:hAnsi="仿宋" w:eastAsia="仿宋" w:cs="仿宋"/>
          <w:color w:val="auto"/>
        </w:rPr>
      </w:pPr>
    </w:p>
    <w:p>
      <w:pPr>
        <w:adjustRightInd w:val="0"/>
        <w:snapToGrid w:val="0"/>
        <w:rPr>
          <w:rFonts w:hint="eastAsia" w:ascii="仿宋" w:hAnsi="仿宋" w:eastAsia="仿宋" w:cs="仿宋"/>
          <w:color w:val="auto"/>
        </w:rPr>
      </w:pPr>
    </w:p>
    <w:p>
      <w:pPr>
        <w:adjustRightInd w:val="0"/>
        <w:snapToGrid w:val="0"/>
        <w:rPr>
          <w:rFonts w:hint="eastAsia" w:ascii="仿宋" w:hAnsi="仿宋" w:eastAsia="仿宋" w:cs="仿宋"/>
          <w:color w:val="auto"/>
        </w:rPr>
      </w:pPr>
    </w:p>
    <w:p>
      <w:pPr>
        <w:adjustRightInd w:val="0"/>
        <w:snapToGrid w:val="0"/>
        <w:rPr>
          <w:rFonts w:hint="eastAsia" w:ascii="仿宋" w:hAnsi="仿宋" w:eastAsia="仿宋" w:cs="仿宋"/>
          <w:color w:val="auto"/>
        </w:rPr>
      </w:pPr>
      <w:r>
        <w:rPr>
          <w:rFonts w:hint="eastAsia" w:ascii="仿宋" w:hAnsi="仿宋" w:eastAsia="仿宋" w:cs="仿宋"/>
          <w:color w:val="auto"/>
          <w:kern w:val="2"/>
          <w:sz w:val="21"/>
          <w:szCs w:val="22"/>
          <w:lang w:val="en-US" w:eastAsia="zh-CN" w:bidi="ar-SA"/>
        </w:rPr>
        <w:pict>
          <v:line id="直线 998" o:spid="_x0000_s1128" o:spt="20" style="position:absolute;left:0pt;flip:x;margin-left:328pt;margin-top:3.8pt;height:26.25pt;width:0.7pt;z-index:251675648;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仿宋" w:hAnsi="仿宋" w:eastAsia="仿宋" w:cs="仿宋"/>
          <w:color w:val="auto"/>
          <w:kern w:val="2"/>
          <w:sz w:val="21"/>
          <w:szCs w:val="22"/>
          <w:lang w:val="en-US" w:eastAsia="zh-CN" w:bidi="ar-SA"/>
        </w:rPr>
        <w:pict>
          <v:line id="直线 1000" o:spid="_x0000_s1129" o:spt="20" style="position:absolute;left:0pt;margin-left:109.15pt;margin-top:1.55pt;height:27.15pt;width:0.8pt;z-index:251673600;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仿宋" w:hAnsi="仿宋" w:eastAsia="仿宋" w:cs="仿宋"/>
          <w:color w:val="auto"/>
          <w:kern w:val="2"/>
          <w:sz w:val="21"/>
          <w:szCs w:val="22"/>
          <w:lang w:val="en-US" w:eastAsia="zh-CN" w:bidi="ar-SA"/>
        </w:rPr>
        <w:pict>
          <v:line id="直线 999" o:spid="_x0000_s1130" o:spt="20" style="position:absolute;left:0pt;flip:x;margin-left:219.15pt;margin-top:2.8pt;height:26.25pt;width:0.05pt;z-index:251674624;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p>
    <w:p>
      <w:pPr>
        <w:adjustRightInd w:val="0"/>
        <w:snapToGrid w:val="0"/>
        <w:rPr>
          <w:rFonts w:hint="eastAsia" w:ascii="仿宋" w:hAnsi="仿宋" w:eastAsia="仿宋" w:cs="仿宋"/>
          <w:color w:val="auto"/>
        </w:rPr>
      </w:pPr>
    </w:p>
    <w:p>
      <w:pPr>
        <w:adjustRightInd w:val="0"/>
        <w:snapToGrid w:val="0"/>
        <w:rPr>
          <w:rFonts w:hint="eastAsia" w:ascii="仿宋" w:hAnsi="仿宋" w:eastAsia="仿宋" w:cs="仿宋"/>
          <w:color w:val="auto"/>
        </w:rPr>
      </w:pPr>
      <w:r>
        <w:rPr>
          <w:rFonts w:hint="eastAsia" w:ascii="仿宋" w:hAnsi="仿宋" w:eastAsia="仿宋" w:cs="仿宋"/>
          <w:color w:val="auto"/>
          <w:kern w:val="2"/>
          <w:sz w:val="21"/>
          <w:szCs w:val="22"/>
          <w:lang w:val="en-US" w:eastAsia="zh-CN" w:bidi="ar-SA"/>
        </w:rPr>
        <w:pict>
          <v:rect id="文本框 1001" o:spid="_x0000_s1131" o:spt="1" style="position:absolute;left:0pt;margin-left:94.35pt;margin-top:0.4pt;height:23.95pt;width:250.6pt;z-index:251676672;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inset="0mm,0mm,0mm,0mm">
              <w:txbxContent>
                <w:p>
                  <w:pPr>
                    <w:spacing w:line="276" w:lineRule="auto"/>
                    <w:jc w:val="center"/>
                    <w:rPr>
                      <w:rFonts w:hint="eastAsia" w:ascii="仿宋" w:hAnsi="仿宋" w:eastAsia="仿宋" w:cs="仿宋"/>
                      <w:sz w:val="21"/>
                      <w:szCs w:val="21"/>
                    </w:rPr>
                  </w:pPr>
                  <w:r>
                    <w:rPr>
                      <w:rFonts w:hint="eastAsia" w:ascii="仿宋" w:hAnsi="仿宋" w:eastAsia="仿宋" w:cs="仿宋"/>
                      <w:kern w:val="0"/>
                      <w:sz w:val="21"/>
                      <w:szCs w:val="21"/>
                    </w:rPr>
                    <w:t>突发大气（或水）环境事件风险等级</w:t>
                  </w:r>
                </w:p>
              </w:txbxContent>
            </v:textbox>
          </v:rect>
        </w:pict>
      </w:r>
    </w:p>
    <w:p>
      <w:pPr>
        <w:adjustRightInd w:val="0"/>
        <w:snapToGrid w:val="0"/>
        <w:rPr>
          <w:rFonts w:hint="eastAsia" w:ascii="仿宋" w:hAnsi="仿宋" w:eastAsia="仿宋" w:cs="仿宋"/>
          <w:color w:val="auto"/>
        </w:rPr>
      </w:pPr>
      <w:r>
        <w:rPr>
          <w:rFonts w:hint="eastAsia" w:ascii="仿宋" w:hAnsi="仿宋" w:eastAsia="仿宋" w:cs="仿宋"/>
          <w:color w:val="auto"/>
          <w:kern w:val="2"/>
          <w:sz w:val="21"/>
          <w:szCs w:val="22"/>
          <w:lang w:val="en-US" w:eastAsia="zh-CN" w:bidi="ar-SA"/>
        </w:rPr>
        <w:pict>
          <v:line id="直线 1002" o:spid="_x0000_s1132" o:spt="20" style="position:absolute;left:0pt;margin-left:219.2pt;margin-top:11.95pt;height:23.7pt;width:0.05pt;z-index:251677696;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p>
    <w:p>
      <w:pPr>
        <w:adjustRightInd w:val="0"/>
        <w:snapToGrid w:val="0"/>
        <w:rPr>
          <w:rFonts w:hint="eastAsia" w:ascii="仿宋" w:hAnsi="仿宋" w:eastAsia="仿宋" w:cs="仿宋"/>
          <w:color w:val="auto"/>
        </w:rPr>
      </w:pPr>
    </w:p>
    <w:p>
      <w:pPr>
        <w:adjustRightInd w:val="0"/>
        <w:snapToGrid w:val="0"/>
        <w:rPr>
          <w:rFonts w:hint="eastAsia" w:ascii="仿宋" w:hAnsi="仿宋" w:eastAsia="仿宋" w:cs="仿宋"/>
          <w:color w:val="auto"/>
        </w:rPr>
      </w:pPr>
      <w:r>
        <w:rPr>
          <w:rFonts w:hint="eastAsia" w:ascii="仿宋" w:hAnsi="仿宋" w:eastAsia="仿宋" w:cs="仿宋"/>
          <w:color w:val="auto"/>
          <w:kern w:val="2"/>
          <w:sz w:val="21"/>
          <w:szCs w:val="22"/>
          <w:lang w:val="en-US" w:eastAsia="zh-CN" w:bidi="ar-SA"/>
        </w:rPr>
        <w:pict>
          <v:rect id="文本框 1003" o:spid="_x0000_s1133" o:spt="1" style="position:absolute;left:0pt;margin-left:92.7pt;margin-top:6.25pt;height:23.95pt;width:250.6pt;z-index:251682816;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inset="0mm,0mm,0mm,0mm">
              <w:txbxContent>
                <w:p>
                  <w:pPr>
                    <w:spacing w:line="276" w:lineRule="auto"/>
                    <w:jc w:val="center"/>
                    <w:rPr>
                      <w:rFonts w:hint="eastAsia" w:ascii="仿宋" w:hAnsi="仿宋" w:eastAsia="仿宋" w:cs="仿宋"/>
                      <w:kern w:val="0"/>
                      <w:sz w:val="21"/>
                      <w:szCs w:val="21"/>
                    </w:rPr>
                  </w:pPr>
                  <w:r>
                    <w:rPr>
                      <w:rFonts w:hint="eastAsia" w:ascii="仿宋" w:hAnsi="仿宋" w:eastAsia="仿宋" w:cs="仿宋"/>
                      <w:kern w:val="0"/>
                      <w:sz w:val="21"/>
                      <w:szCs w:val="21"/>
                    </w:rPr>
                    <w:t>企业突发环境事件风险等级</w:t>
                  </w:r>
                </w:p>
              </w:txbxContent>
            </v:textbox>
          </v:rect>
        </w:pict>
      </w:r>
    </w:p>
    <w:p>
      <w:pPr>
        <w:adjustRightInd w:val="0"/>
        <w:snapToGrid w:val="0"/>
        <w:rPr>
          <w:rFonts w:hint="eastAsia" w:ascii="仿宋" w:hAnsi="仿宋" w:eastAsia="仿宋" w:cs="仿宋"/>
          <w:color w:val="auto"/>
        </w:rPr>
      </w:pPr>
    </w:p>
    <w:p>
      <w:pPr>
        <w:adjustRightInd w:val="0"/>
        <w:snapToGrid w:val="0"/>
        <w:rPr>
          <w:rFonts w:hint="eastAsia" w:ascii="仿宋" w:hAnsi="仿宋" w:eastAsia="仿宋" w:cs="仿宋"/>
          <w:color w:val="auto"/>
        </w:rPr>
      </w:pPr>
      <w:r>
        <w:rPr>
          <w:rFonts w:hint="eastAsia" w:ascii="仿宋" w:hAnsi="仿宋" w:eastAsia="仿宋" w:cs="仿宋"/>
          <w:color w:val="auto"/>
          <w:kern w:val="2"/>
          <w:sz w:val="21"/>
          <w:szCs w:val="22"/>
          <w:lang w:val="en-US" w:eastAsia="zh-CN" w:bidi="ar-SA"/>
        </w:rPr>
        <w:pict>
          <v:rect id="矩形 1005" o:spid="_x0000_s1134" o:spt="1" style="position:absolute;left:0pt;margin-left:65.2pt;margin-top:11.75pt;height:41.2pt;width:303.3pt;z-index:251681792;mso-width-relative:page;mso-height-relative:page;" fillcolor="#FFFFFF" filled="f" o:preferrelative="t" stroked="t" coordsize="21600,21600">
            <v:path/>
            <v:fill on="f" color2="#FFFFFF" focussize="0,0"/>
            <v:stroke weight="0.05pt" color="#000000" color2="#FFFFFF" miterlimit="2" dashstyle="dash"/>
            <v:imagedata gain="65536f" blacklevel="0f" gamma="0" o:title=""/>
            <o:lock v:ext="edit" position="f" selection="f" grouping="f" rotation="f" cropping="f" text="f" aspectratio="f"/>
            <v:textbox inset="2.8pt,2.8pt,2.8pt,2.8pt"/>
          </v:rect>
        </w:pict>
      </w:r>
    </w:p>
    <w:p>
      <w:pPr>
        <w:pStyle w:val="8"/>
        <w:spacing w:line="500" w:lineRule="exact"/>
        <w:ind w:firstLine="560"/>
        <w:rPr>
          <w:rFonts w:hint="eastAsia" w:ascii="Times New Roman" w:eastAsia="仿宋"/>
          <w:color w:val="auto"/>
          <w:szCs w:val="28"/>
        </w:rPr>
      </w:pPr>
      <w:r>
        <w:rPr>
          <w:rFonts w:hint="eastAsia" w:ascii="宋体" w:hAnsi="宋体" w:eastAsia="宋体" w:cs="黑体"/>
          <w:b/>
          <w:color w:val="auto"/>
          <w:kern w:val="2"/>
          <w:sz w:val="28"/>
          <w:szCs w:val="28"/>
          <w:lang w:val="en-US" w:eastAsia="zh-CN" w:bidi="ar-SA"/>
        </w:rPr>
        <w:pict>
          <v:rect id="矩形 61" o:spid="_x0000_s1135" o:spt="1" style="position:absolute;left:0pt;margin-left:68.15pt;margin-top:36.95pt;height:25.5pt;width:283.5pt;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snapToGrid w:val="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图6.1-1    企业突发环境事件分级程序</w:t>
                  </w:r>
                </w:p>
              </w:txbxContent>
            </v:textbox>
          </v:rect>
        </w:pict>
      </w:r>
      <w:r>
        <w:rPr>
          <w:rFonts w:hint="eastAsia" w:ascii="Times New Roman" w:hAnsi="Calibri" w:eastAsia="仿宋" w:cs="黑体"/>
          <w:color w:val="auto"/>
          <w:kern w:val="2"/>
          <w:sz w:val="28"/>
          <w:szCs w:val="28"/>
          <w:lang w:val="en-US" w:eastAsia="zh-CN" w:bidi="ar-SA"/>
        </w:rPr>
        <w:pict>
          <v:line id="线条21" o:spid="_x0000_s1136" o:spt="20" style="position:absolute;left:0pt;margin-left:35.4pt;margin-top:19.5pt;height:0.4pt;width:28.5pt;z-index:251683840;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仿宋" w:hAnsi="仿宋" w:eastAsia="仿宋" w:cs="仿宋"/>
          <w:color w:val="auto"/>
          <w:kern w:val="2"/>
          <w:sz w:val="28"/>
          <w:szCs w:val="22"/>
          <w:lang w:val="en-US" w:eastAsia="zh-CN" w:bidi="ar-SA"/>
        </w:rPr>
        <w:pict>
          <v:rect id="文本框 1006" o:spid="_x0000_s1137" o:spt="1" style="position:absolute;left:0pt;margin-left:278.65pt;margin-top:11pt;height:22.9pt;width:81.75pt;z-index:251680768;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inset="0mm,0mm,0mm,0mm">
              <w:txbxContent>
                <w:p>
                  <w:pPr>
                    <w:adjustRightInd w:val="0"/>
                    <w:snapToGrid w:val="0"/>
                    <w:jc w:val="center"/>
                    <w:rPr>
                      <w:rFonts w:eastAsia="仿宋"/>
                      <w:sz w:val="21"/>
                      <w:szCs w:val="21"/>
                    </w:rPr>
                  </w:pPr>
                  <w:r>
                    <w:rPr>
                      <w:rFonts w:hint="eastAsia" w:eastAsia="仿宋"/>
                      <w:sz w:val="21"/>
                      <w:szCs w:val="21"/>
                    </w:rPr>
                    <w:t>重大环境风险</w:t>
                  </w:r>
                </w:p>
              </w:txbxContent>
            </v:textbox>
          </v:rect>
        </w:pict>
      </w:r>
      <w:r>
        <w:rPr>
          <w:rFonts w:hint="eastAsia" w:ascii="仿宋" w:hAnsi="仿宋" w:eastAsia="仿宋" w:cs="仿宋"/>
          <w:color w:val="auto"/>
          <w:kern w:val="2"/>
          <w:sz w:val="28"/>
          <w:szCs w:val="22"/>
          <w:lang w:val="en-US" w:eastAsia="zh-CN" w:bidi="ar-SA"/>
        </w:rPr>
        <w:pict>
          <v:rect id="文本框 1008" o:spid="_x0000_s1138" o:spt="1" style="position:absolute;left:0pt;margin-left:79.6pt;margin-top:10.95pt;height:22.9pt;width:81.75pt;z-index:251678720;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inset="0mm,0mm,0mm,0mm">
              <w:txbxContent>
                <w:p>
                  <w:pPr>
                    <w:adjustRightInd w:val="0"/>
                    <w:snapToGrid w:val="0"/>
                    <w:jc w:val="center"/>
                    <w:rPr>
                      <w:rFonts w:eastAsia="仿宋"/>
                      <w:sz w:val="21"/>
                      <w:szCs w:val="21"/>
                    </w:rPr>
                  </w:pPr>
                  <w:r>
                    <w:rPr>
                      <w:rFonts w:hint="eastAsia" w:eastAsia="仿宋"/>
                      <w:sz w:val="21"/>
                      <w:szCs w:val="21"/>
                    </w:rPr>
                    <w:t>一般环境风险</w:t>
                  </w:r>
                </w:p>
              </w:txbxContent>
            </v:textbox>
          </v:rect>
        </w:pict>
      </w:r>
      <w:r>
        <w:rPr>
          <w:rFonts w:hint="eastAsia" w:ascii="仿宋" w:hAnsi="仿宋" w:eastAsia="仿宋" w:cs="仿宋"/>
          <w:color w:val="auto"/>
          <w:kern w:val="2"/>
          <w:sz w:val="28"/>
          <w:szCs w:val="22"/>
          <w:lang w:val="en-US" w:eastAsia="zh-CN" w:bidi="ar-SA"/>
        </w:rPr>
        <w:pict>
          <v:rect id="文本框 1007" o:spid="_x0000_s1139" o:spt="1" style="position:absolute;left:0pt;margin-left:181.2pt;margin-top:10.2pt;height:22.9pt;width:81.75pt;z-index:251679744;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inset="0mm,0mm,0mm,0mm">
              <w:txbxContent>
                <w:p>
                  <w:pPr>
                    <w:adjustRightInd w:val="0"/>
                    <w:snapToGrid w:val="0"/>
                    <w:jc w:val="center"/>
                    <w:rPr>
                      <w:rFonts w:hint="eastAsia" w:eastAsia="仿宋"/>
                      <w:sz w:val="21"/>
                      <w:szCs w:val="21"/>
                    </w:rPr>
                  </w:pPr>
                  <w:r>
                    <w:rPr>
                      <w:rFonts w:hint="eastAsia" w:eastAsia="仿宋"/>
                      <w:sz w:val="21"/>
                      <w:szCs w:val="21"/>
                    </w:rPr>
                    <w:t>较大环境风险</w:t>
                  </w:r>
                </w:p>
              </w:txbxContent>
            </v:textbox>
          </v:rect>
        </w:pict>
      </w:r>
    </w:p>
    <w:p>
      <w:pPr>
        <w:rPr>
          <w:rFonts w:hint="default"/>
          <w:color w:val="auto"/>
          <w:lang w:val="en-US" w:eastAsia="zh-CN"/>
        </w:rPr>
      </w:pPr>
    </w:p>
    <w:p>
      <w:pPr>
        <w:pStyle w:val="8"/>
        <w:widowControl w:val="0"/>
        <w:wordWrap/>
        <w:adjustRightInd w:val="0"/>
        <w:snapToGrid w:val="0"/>
        <w:spacing w:line="360" w:lineRule="auto"/>
        <w:ind w:firstLine="0" w:firstLineChars="0"/>
        <w:jc w:val="left"/>
        <w:textAlignment w:val="auto"/>
        <w:outlineLvl w:val="1"/>
        <w:rPr>
          <w:rFonts w:ascii="Times New Roman" w:eastAsia="仿宋"/>
          <w:b/>
          <w:color w:val="auto"/>
          <w:sz w:val="30"/>
          <w:szCs w:val="30"/>
        </w:rPr>
      </w:pPr>
      <w:bookmarkStart w:id="102" w:name="_Toc26573"/>
      <w:r>
        <w:rPr>
          <w:rFonts w:hint="eastAsia" w:ascii="Times New Roman" w:eastAsia="仿宋"/>
          <w:b/>
          <w:color w:val="auto"/>
          <w:sz w:val="30"/>
          <w:szCs w:val="30"/>
          <w:lang w:val="en-US" w:eastAsia="zh-CN"/>
        </w:rPr>
        <w:t>6.</w:t>
      </w:r>
      <w:r>
        <w:rPr>
          <w:rFonts w:ascii="Times New Roman" w:eastAsia="仿宋"/>
          <w:b/>
          <w:color w:val="auto"/>
          <w:sz w:val="30"/>
          <w:szCs w:val="30"/>
        </w:rPr>
        <w:t>2突发大气环境事件分级</w:t>
      </w:r>
      <w:bookmarkEnd w:id="102"/>
    </w:p>
    <w:p>
      <w:pPr>
        <w:pStyle w:val="8"/>
        <w:widowControl w:val="0"/>
        <w:wordWrap/>
        <w:adjustRightInd w:val="0"/>
        <w:snapToGrid w:val="0"/>
        <w:spacing w:line="360" w:lineRule="auto"/>
        <w:ind w:firstLine="0" w:firstLineChars="0"/>
        <w:textAlignment w:val="auto"/>
        <w:outlineLvl w:val="2"/>
        <w:rPr>
          <w:rFonts w:ascii="Times New Roman" w:eastAsia="仿宋"/>
          <w:b/>
          <w:color w:val="auto"/>
          <w:szCs w:val="28"/>
        </w:rPr>
      </w:pPr>
      <w:bookmarkStart w:id="103" w:name="_Toc2272"/>
      <w:r>
        <w:rPr>
          <w:rFonts w:ascii="Times New Roman" w:eastAsia="仿宋"/>
          <w:b/>
          <w:color w:val="auto"/>
          <w:szCs w:val="28"/>
        </w:rPr>
        <w:t>6.2.1涉气风险物质数量与临界量比值（Q）</w:t>
      </w:r>
      <w:bookmarkEnd w:id="103"/>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根据对企业基本情况分析，对照</w:t>
      </w:r>
      <w:r>
        <w:rPr>
          <w:rFonts w:hint="default" w:ascii="Times New Roman" w:hAnsi="Times New Roman" w:eastAsia="仿宋" w:cs="Times New Roman"/>
          <w:color w:val="auto"/>
          <w:kern w:val="0"/>
          <w:sz w:val="28"/>
          <w:szCs w:val="28"/>
        </w:rPr>
        <w:t>《企业突发环境事件风险分级方法》（HJ 941-2018）</w:t>
      </w:r>
      <w:r>
        <w:rPr>
          <w:rFonts w:hint="default" w:ascii="Times New Roman" w:hAnsi="Times New Roman" w:eastAsia="仿宋" w:cs="Times New Roman"/>
          <w:color w:val="auto"/>
          <w:sz w:val="28"/>
          <w:szCs w:val="28"/>
        </w:rPr>
        <w:t>中附录A中关于突发环境事件风险物质的规定，风险物质主要为</w:t>
      </w:r>
      <w:r>
        <w:rPr>
          <w:rFonts w:hint="eastAsia" w:ascii="Times New Roman" w:hAnsi="Times New Roman" w:eastAsia="仿宋" w:cs="Times New Roman"/>
          <w:color w:val="auto"/>
          <w:sz w:val="28"/>
          <w:szCs w:val="28"/>
          <w:lang w:eastAsia="zh-CN"/>
        </w:rPr>
        <w:t>丙烯酸、双氧水、巯基丙酸</w:t>
      </w:r>
      <w:r>
        <w:rPr>
          <w:rFonts w:hint="default" w:ascii="Times New Roman" w:hAnsi="Times New Roman" w:eastAsia="仿宋" w:cs="Times New Roman"/>
          <w:color w:val="auto"/>
          <w:sz w:val="28"/>
          <w:szCs w:val="28"/>
        </w:rPr>
        <w:t>。计算所涉及的每种环境风险物质在厂界内的最大存在总量（如存在总量呈动态变化，则按公历年度内某一天最大存在总量计算）与其在《企业突发环境事件风险分级方法》（HJ 941-2018）中附录A对应的临界量的比值Q：</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1、当企业只涉及一种环境风险物质时，计算该物质的总数量与其临界量比值，即为Q；</w:t>
      </w:r>
    </w:p>
    <w:p>
      <w:pPr>
        <w:snapToGrid w:val="0"/>
        <w:spacing w:line="240" w:lineRule="auto"/>
        <w:ind w:firstLine="560" w:firstLineChars="200"/>
        <w:rPr>
          <w:rFonts w:eastAsia="仿宋"/>
          <w:color w:val="auto"/>
          <w:sz w:val="28"/>
          <w:szCs w:val="28"/>
        </w:rPr>
      </w:pPr>
      <w:r>
        <w:rPr>
          <w:rFonts w:hint="default" w:ascii="Times New Roman" w:hAnsi="Times New Roman" w:eastAsia="仿宋" w:cs="Times New Roman"/>
          <w:color w:val="auto"/>
          <w:sz w:val="28"/>
          <w:szCs w:val="28"/>
        </w:rPr>
        <w:t>2、当企业存在多种环境风险物质时，则按式</w:t>
      </w:r>
      <w:r>
        <w:rPr>
          <w:rFonts w:hint="default" w:ascii="Times New Roman" w:hAnsi="Times New Roman" w:cs="Times New Roman"/>
          <w:color w:val="auto"/>
          <w:sz w:val="28"/>
          <w:szCs w:val="28"/>
        </w:rPr>
        <w:t>⑴</w:t>
      </w:r>
      <w:r>
        <w:rPr>
          <w:rFonts w:hint="default" w:ascii="Times New Roman" w:hAnsi="Times New Roman" w:eastAsia="仿宋" w:cs="Times New Roman"/>
          <w:color w:val="auto"/>
          <w:sz w:val="28"/>
          <w:szCs w:val="28"/>
        </w:rPr>
        <w:t>计算：</w:t>
      </w:r>
    </w:p>
    <w:p>
      <w:pPr>
        <w:snapToGrid w:val="0"/>
        <w:spacing w:line="240" w:lineRule="auto"/>
        <w:ind w:firstLine="560" w:firstLineChars="200"/>
        <w:rPr>
          <w:rFonts w:eastAsia="仿宋"/>
          <w:color w:val="auto"/>
          <w:sz w:val="28"/>
          <w:szCs w:val="28"/>
        </w:rPr>
      </w:pPr>
      <w:r>
        <w:rPr>
          <w:rFonts w:ascii="Calibri" w:hAnsi="Calibri" w:eastAsia="仿宋" w:cs="黑体"/>
          <w:color w:val="auto"/>
          <w:kern w:val="2"/>
          <w:sz w:val="28"/>
          <w:szCs w:val="28"/>
          <w:lang w:val="en-US" w:eastAsia="zh-CN" w:bidi="ar-SA"/>
        </w:rPr>
        <w:pict>
          <v:shape id="图片 64" o:spid="_x0000_s1140" o:spt="75" type="#_x0000_t75" style="position:absolute;left:0pt;margin-left:115.3pt;margin-top:0.15pt;height:43.5pt;width:174pt;z-index:-251631616;mso-width-relative:page;mso-height-relative:page;" fillcolor="#FFFFFF" filled="f" o:preferrelative="t" stroked="f" coordsize="21600,21600">
            <v:path/>
            <v:fill on="f" color2="#FFFFFF" focussize="0,0"/>
            <v:stroke on="f"/>
            <v:imagedata r:id="rId32" gain="65536f" blacklevel="0f" gamma="0" o:title=""/>
            <o:lock v:ext="edit" position="f" selection="f" grouping="f" rotation="f" cropping="f" text="f" aspectratio="t"/>
          </v:shape>
        </w:pict>
      </w:r>
    </w:p>
    <w:p>
      <w:pPr>
        <w:snapToGrid w:val="0"/>
        <w:spacing w:line="240" w:lineRule="auto"/>
        <w:ind w:firstLine="560" w:firstLineChars="200"/>
        <w:rPr>
          <w:rFonts w:eastAsia="仿宋"/>
          <w:color w:val="auto"/>
          <w:sz w:val="28"/>
          <w:szCs w:val="28"/>
        </w:rPr>
      </w:pP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式中：w</w:t>
      </w:r>
      <w:r>
        <w:rPr>
          <w:rFonts w:hint="default" w:ascii="Times New Roman" w:hAnsi="Times New Roman" w:eastAsia="仿宋" w:cs="Times New Roman"/>
          <w:color w:val="auto"/>
          <w:sz w:val="28"/>
          <w:szCs w:val="28"/>
          <w:vertAlign w:val="subscript"/>
        </w:rPr>
        <w:t>1</w:t>
      </w:r>
      <w:r>
        <w:rPr>
          <w:rFonts w:hint="default" w:ascii="Times New Roman" w:hAnsi="Times New Roman" w:eastAsia="仿宋" w:cs="Times New Roman"/>
          <w:color w:val="auto"/>
          <w:sz w:val="28"/>
          <w:szCs w:val="28"/>
        </w:rPr>
        <w:t>、w</w:t>
      </w:r>
      <w:r>
        <w:rPr>
          <w:rFonts w:hint="default" w:ascii="Times New Roman" w:hAnsi="Times New Roman" w:eastAsia="仿宋" w:cs="Times New Roman"/>
          <w:color w:val="auto"/>
          <w:sz w:val="28"/>
          <w:szCs w:val="28"/>
          <w:vertAlign w:val="subscript"/>
        </w:rPr>
        <w:t>2</w:t>
      </w:r>
      <w:r>
        <w:rPr>
          <w:rFonts w:hint="default" w:ascii="Times New Roman" w:hAnsi="Times New Roman" w:eastAsia="仿宋" w:cs="Times New Roman"/>
          <w:color w:val="auto"/>
          <w:sz w:val="28"/>
          <w:szCs w:val="28"/>
        </w:rPr>
        <w:t>、… w</w:t>
      </w:r>
      <w:r>
        <w:rPr>
          <w:rFonts w:hint="default" w:ascii="Times New Roman" w:hAnsi="Times New Roman" w:eastAsia="仿宋" w:cs="Times New Roman"/>
          <w:color w:val="auto"/>
          <w:sz w:val="28"/>
          <w:szCs w:val="28"/>
          <w:vertAlign w:val="subscript"/>
        </w:rPr>
        <w:t>n</w:t>
      </w:r>
      <w:r>
        <w:rPr>
          <w:rFonts w:hint="default" w:ascii="Times New Roman" w:hAnsi="Times New Roman" w:eastAsia="仿宋" w:cs="Times New Roman"/>
          <w:color w:val="auto"/>
          <w:sz w:val="28"/>
          <w:szCs w:val="28"/>
        </w:rPr>
        <w:t>----每种环境风险物质的最大存在总量，t；</w:t>
      </w:r>
    </w:p>
    <w:p>
      <w:pPr>
        <w:snapToGrid w:val="0"/>
        <w:spacing w:line="240" w:lineRule="auto"/>
        <w:ind w:firstLine="1400" w:firstLineChars="5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W</w:t>
      </w:r>
      <w:r>
        <w:rPr>
          <w:rFonts w:hint="default" w:ascii="Times New Roman" w:hAnsi="Times New Roman" w:eastAsia="仿宋" w:cs="Times New Roman"/>
          <w:color w:val="auto"/>
          <w:sz w:val="28"/>
          <w:szCs w:val="28"/>
          <w:vertAlign w:val="subscript"/>
        </w:rPr>
        <w:t>1</w:t>
      </w:r>
      <w:r>
        <w:rPr>
          <w:rFonts w:hint="default" w:ascii="Times New Roman" w:hAnsi="Times New Roman" w:eastAsia="仿宋" w:cs="Times New Roman"/>
          <w:color w:val="auto"/>
          <w:sz w:val="28"/>
          <w:szCs w:val="28"/>
        </w:rPr>
        <w:t>、W</w:t>
      </w:r>
      <w:r>
        <w:rPr>
          <w:rFonts w:hint="default" w:ascii="Times New Roman" w:hAnsi="Times New Roman" w:eastAsia="仿宋" w:cs="Times New Roman"/>
          <w:color w:val="auto"/>
          <w:sz w:val="28"/>
          <w:szCs w:val="28"/>
          <w:vertAlign w:val="subscript"/>
        </w:rPr>
        <w:t>2</w:t>
      </w:r>
      <w:r>
        <w:rPr>
          <w:rFonts w:hint="default" w:ascii="Times New Roman" w:hAnsi="Times New Roman" w:eastAsia="仿宋" w:cs="Times New Roman"/>
          <w:color w:val="auto"/>
          <w:sz w:val="28"/>
          <w:szCs w:val="28"/>
        </w:rPr>
        <w:t>、… W</w:t>
      </w:r>
      <w:r>
        <w:rPr>
          <w:rFonts w:hint="default" w:ascii="Times New Roman" w:hAnsi="Times New Roman" w:eastAsia="仿宋" w:cs="Times New Roman"/>
          <w:color w:val="auto"/>
          <w:sz w:val="28"/>
          <w:szCs w:val="28"/>
          <w:vertAlign w:val="subscript"/>
        </w:rPr>
        <w:t>n</w:t>
      </w:r>
      <w:r>
        <w:rPr>
          <w:rFonts w:hint="default" w:ascii="Times New Roman" w:hAnsi="Times New Roman" w:eastAsia="仿宋" w:cs="Times New Roman"/>
          <w:color w:val="auto"/>
          <w:sz w:val="28"/>
          <w:szCs w:val="28"/>
        </w:rPr>
        <w:t>----每种环境风险物质相对应的临界量，t。</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按照数值大小，将Q划分为4个水平：</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cs="Times New Roman"/>
          <w:color w:val="auto"/>
          <w:sz w:val="28"/>
          <w:szCs w:val="28"/>
        </w:rPr>
        <w:t>⑴</w:t>
      </w:r>
      <w:r>
        <w:rPr>
          <w:rFonts w:hint="default" w:ascii="Times New Roman" w:hAnsi="Times New Roman" w:eastAsia="仿宋" w:cs="Times New Roman"/>
          <w:color w:val="auto"/>
          <w:sz w:val="28"/>
          <w:szCs w:val="28"/>
        </w:rPr>
        <w:t xml:space="preserve"> Q＜1，以Q</w:t>
      </w:r>
      <w:r>
        <w:rPr>
          <w:rFonts w:hint="default" w:ascii="Times New Roman" w:hAnsi="Times New Roman" w:eastAsia="仿宋" w:cs="Times New Roman"/>
          <w:color w:val="auto"/>
          <w:sz w:val="28"/>
          <w:szCs w:val="28"/>
          <w:vertAlign w:val="subscript"/>
        </w:rPr>
        <w:t>0</w:t>
      </w:r>
      <w:r>
        <w:rPr>
          <w:rFonts w:hint="default" w:ascii="Times New Roman" w:hAnsi="Times New Roman" w:eastAsia="仿宋" w:cs="Times New Roman"/>
          <w:color w:val="auto"/>
          <w:sz w:val="28"/>
          <w:szCs w:val="28"/>
        </w:rPr>
        <w:t>表示，企业直接评为一般环境风险等级；</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cs="Times New Roman"/>
          <w:color w:val="auto"/>
          <w:sz w:val="28"/>
          <w:szCs w:val="28"/>
        </w:rPr>
        <w:t>⑵</w:t>
      </w:r>
      <w:r>
        <w:rPr>
          <w:rFonts w:hint="default" w:ascii="Times New Roman" w:hAnsi="Times New Roman" w:eastAsia="仿宋" w:cs="Times New Roman"/>
          <w:color w:val="auto"/>
          <w:sz w:val="28"/>
          <w:szCs w:val="28"/>
        </w:rPr>
        <w:t xml:space="preserve"> 1≤Q＜10，以Q</w:t>
      </w:r>
      <w:r>
        <w:rPr>
          <w:rFonts w:hint="default" w:ascii="Times New Roman" w:hAnsi="Times New Roman" w:eastAsia="仿宋" w:cs="Times New Roman"/>
          <w:color w:val="auto"/>
          <w:sz w:val="28"/>
          <w:szCs w:val="28"/>
          <w:vertAlign w:val="subscript"/>
        </w:rPr>
        <w:t>1</w:t>
      </w:r>
      <w:r>
        <w:rPr>
          <w:rFonts w:hint="default" w:ascii="Times New Roman" w:hAnsi="Times New Roman" w:eastAsia="仿宋" w:cs="Times New Roman"/>
          <w:color w:val="auto"/>
          <w:sz w:val="28"/>
          <w:szCs w:val="28"/>
        </w:rPr>
        <w:t>表示；</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cs="Times New Roman"/>
          <w:color w:val="auto"/>
          <w:sz w:val="28"/>
          <w:szCs w:val="28"/>
        </w:rPr>
        <w:t>⑶</w:t>
      </w:r>
      <w:r>
        <w:rPr>
          <w:rFonts w:hint="default" w:ascii="Times New Roman" w:hAnsi="Times New Roman" w:eastAsia="仿宋" w:cs="Times New Roman"/>
          <w:color w:val="auto"/>
          <w:sz w:val="28"/>
          <w:szCs w:val="28"/>
        </w:rPr>
        <w:t xml:space="preserve"> 10≤Q＜100，以Q</w:t>
      </w:r>
      <w:r>
        <w:rPr>
          <w:rFonts w:hint="default" w:ascii="Times New Roman" w:hAnsi="Times New Roman" w:eastAsia="仿宋" w:cs="Times New Roman"/>
          <w:color w:val="auto"/>
          <w:sz w:val="28"/>
          <w:szCs w:val="28"/>
          <w:vertAlign w:val="subscript"/>
        </w:rPr>
        <w:t>2</w:t>
      </w:r>
      <w:r>
        <w:rPr>
          <w:rFonts w:hint="default" w:ascii="Times New Roman" w:hAnsi="Times New Roman" w:eastAsia="仿宋" w:cs="Times New Roman"/>
          <w:color w:val="auto"/>
          <w:sz w:val="28"/>
          <w:szCs w:val="28"/>
        </w:rPr>
        <w:t>表示；</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cs="Times New Roman"/>
          <w:color w:val="auto"/>
          <w:sz w:val="28"/>
          <w:szCs w:val="28"/>
        </w:rPr>
        <w:t>⑷</w:t>
      </w:r>
      <w:r>
        <w:rPr>
          <w:rFonts w:hint="default" w:ascii="Times New Roman" w:hAnsi="Times New Roman" w:eastAsia="仿宋" w:cs="Times New Roman"/>
          <w:color w:val="auto"/>
          <w:sz w:val="28"/>
          <w:szCs w:val="28"/>
        </w:rPr>
        <w:t xml:space="preserve"> Q≥100，以Q</w:t>
      </w:r>
      <w:r>
        <w:rPr>
          <w:rFonts w:hint="default" w:ascii="Times New Roman" w:hAnsi="Times New Roman" w:eastAsia="仿宋" w:cs="Times New Roman"/>
          <w:color w:val="auto"/>
          <w:sz w:val="28"/>
          <w:szCs w:val="28"/>
          <w:vertAlign w:val="subscript"/>
        </w:rPr>
        <w:t>3</w:t>
      </w:r>
      <w:r>
        <w:rPr>
          <w:rFonts w:hint="default" w:ascii="Times New Roman" w:hAnsi="Times New Roman" w:eastAsia="仿宋" w:cs="Times New Roman"/>
          <w:color w:val="auto"/>
          <w:sz w:val="28"/>
          <w:szCs w:val="28"/>
        </w:rPr>
        <w:t>表示。</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企业列入</w:t>
      </w:r>
      <w:r>
        <w:rPr>
          <w:rFonts w:hint="default" w:ascii="Times New Roman" w:hAnsi="Times New Roman" w:eastAsia="仿宋" w:cs="Times New Roman"/>
          <w:color w:val="auto"/>
          <w:kern w:val="0"/>
          <w:sz w:val="28"/>
          <w:szCs w:val="28"/>
        </w:rPr>
        <w:t>《企业突发环境事件风险分级方法》（HJ 941-2018）</w:t>
      </w:r>
      <w:r>
        <w:rPr>
          <w:rFonts w:hint="default" w:ascii="Times New Roman" w:hAnsi="Times New Roman" w:eastAsia="仿宋" w:cs="Times New Roman"/>
          <w:color w:val="auto"/>
          <w:sz w:val="28"/>
          <w:szCs w:val="28"/>
        </w:rPr>
        <w:t>中附录A及《危险化学品重大危险源辨识》（GB 18218-2018）中的风险物质对应的临界量、储存量及突发大气环境事件分级判别情况见表6.2-1。</w:t>
      </w:r>
    </w:p>
    <w:p>
      <w:pPr>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表6.2-1涉大气风险物质的储存情况及风险源判别</w:t>
      </w:r>
    </w:p>
    <w:tbl>
      <w:tblPr>
        <w:tblStyle w:val="21"/>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684"/>
        <w:gridCol w:w="1345"/>
        <w:gridCol w:w="1590"/>
        <w:gridCol w:w="1594"/>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blHeader/>
          <w:jc w:val="center"/>
        </w:trPr>
        <w:tc>
          <w:tcPr>
            <w:tcW w:w="766"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b/>
                <w:bCs/>
                <w:color w:val="auto"/>
                <w:sz w:val="21"/>
                <w:szCs w:val="21"/>
              </w:rPr>
            </w:pPr>
            <w:r>
              <w:rPr>
                <w:rFonts w:ascii="Times New Roman" w:hAnsi="Times New Roman" w:eastAsia="仿宋"/>
                <w:b/>
                <w:bCs/>
                <w:color w:val="auto"/>
                <w:sz w:val="21"/>
                <w:szCs w:val="21"/>
              </w:rPr>
              <w:t>序号</w:t>
            </w:r>
          </w:p>
        </w:tc>
        <w:tc>
          <w:tcPr>
            <w:tcW w:w="168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b/>
                <w:bCs/>
                <w:color w:val="auto"/>
                <w:sz w:val="21"/>
                <w:szCs w:val="21"/>
              </w:rPr>
            </w:pPr>
            <w:r>
              <w:rPr>
                <w:rFonts w:ascii="Times New Roman" w:hAnsi="Times New Roman" w:eastAsia="仿宋"/>
                <w:b/>
                <w:bCs/>
                <w:color w:val="auto"/>
                <w:sz w:val="21"/>
                <w:szCs w:val="21"/>
              </w:rPr>
              <w:t>物质名称</w:t>
            </w:r>
          </w:p>
        </w:tc>
        <w:tc>
          <w:tcPr>
            <w:tcW w:w="1345"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b/>
                <w:bCs/>
                <w:color w:val="auto"/>
                <w:sz w:val="21"/>
                <w:szCs w:val="21"/>
              </w:rPr>
            </w:pPr>
            <w:r>
              <w:rPr>
                <w:rFonts w:ascii="Times New Roman" w:hAnsi="Times New Roman" w:eastAsia="仿宋"/>
                <w:b/>
                <w:bCs/>
                <w:color w:val="auto"/>
                <w:sz w:val="21"/>
                <w:szCs w:val="21"/>
              </w:rPr>
              <w:t>临界量Q(吨)</w:t>
            </w:r>
          </w:p>
        </w:tc>
        <w:tc>
          <w:tcPr>
            <w:tcW w:w="159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b/>
                <w:bCs/>
                <w:color w:val="auto"/>
                <w:sz w:val="21"/>
                <w:szCs w:val="21"/>
              </w:rPr>
            </w:pPr>
            <w:r>
              <w:rPr>
                <w:rFonts w:hint="eastAsia" w:ascii="Times New Roman" w:hAnsi="Times New Roman" w:eastAsia="仿宋"/>
                <w:b/>
                <w:bCs/>
                <w:color w:val="auto"/>
                <w:sz w:val="21"/>
                <w:szCs w:val="21"/>
              </w:rPr>
              <w:t>最大</w:t>
            </w:r>
            <w:r>
              <w:rPr>
                <w:rFonts w:ascii="Times New Roman" w:hAnsi="Times New Roman" w:eastAsia="仿宋"/>
                <w:b/>
                <w:bCs/>
                <w:color w:val="auto"/>
                <w:sz w:val="21"/>
                <w:szCs w:val="21"/>
              </w:rPr>
              <w:t>存储量（吨）</w:t>
            </w:r>
          </w:p>
        </w:tc>
        <w:tc>
          <w:tcPr>
            <w:tcW w:w="159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b/>
                <w:bCs/>
                <w:color w:val="auto"/>
                <w:sz w:val="21"/>
                <w:szCs w:val="21"/>
              </w:rPr>
            </w:pPr>
            <w:r>
              <w:rPr>
                <w:rFonts w:hint="eastAsia" w:ascii="Times New Roman" w:hAnsi="Times New Roman" w:eastAsia="仿宋"/>
                <w:b/>
                <w:bCs/>
                <w:color w:val="auto"/>
                <w:sz w:val="21"/>
                <w:szCs w:val="21"/>
              </w:rPr>
              <w:t>存储位置</w:t>
            </w:r>
          </w:p>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b/>
                <w:bCs/>
                <w:color w:val="auto"/>
                <w:sz w:val="21"/>
                <w:szCs w:val="21"/>
              </w:rPr>
            </w:pPr>
            <w:r>
              <w:rPr>
                <w:rFonts w:ascii="Times New Roman" w:hAnsi="Times New Roman" w:eastAsia="仿宋"/>
                <w:b/>
                <w:bCs/>
                <w:color w:val="auto"/>
                <w:sz w:val="21"/>
                <w:szCs w:val="21"/>
              </w:rPr>
              <w:t>（吨）</w:t>
            </w:r>
          </w:p>
        </w:tc>
        <w:tc>
          <w:tcPr>
            <w:tcW w:w="158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b/>
                <w:bCs/>
                <w:color w:val="auto"/>
                <w:sz w:val="21"/>
                <w:szCs w:val="21"/>
              </w:rPr>
            </w:pPr>
            <w:r>
              <w:rPr>
                <w:rFonts w:ascii="Times New Roman" w:hAnsi="Times New Roman" w:eastAsia="仿宋"/>
                <w:b/>
                <w:bCs/>
                <w:color w:val="auto"/>
                <w:sz w:val="21"/>
                <w:szCs w:val="21"/>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766"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olor w:val="auto"/>
                <w:sz w:val="21"/>
                <w:szCs w:val="21"/>
              </w:rPr>
            </w:pPr>
            <w:r>
              <w:rPr>
                <w:rFonts w:ascii="Times New Roman" w:hAnsi="Times New Roman" w:eastAsia="仿宋"/>
                <w:color w:val="auto"/>
                <w:sz w:val="21"/>
                <w:szCs w:val="21"/>
              </w:rPr>
              <w:t>1</w:t>
            </w:r>
          </w:p>
        </w:tc>
        <w:tc>
          <w:tcPr>
            <w:tcW w:w="168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olor w:val="auto"/>
                <w:sz w:val="21"/>
                <w:szCs w:val="21"/>
              </w:rPr>
            </w:pPr>
            <w:r>
              <w:rPr>
                <w:rFonts w:ascii="Times New Roman" w:hAnsi="Times New Roman" w:eastAsia="仿宋"/>
                <w:color w:val="auto"/>
                <w:sz w:val="21"/>
                <w:szCs w:val="21"/>
              </w:rPr>
              <w:t>丙烯酸</w:t>
            </w:r>
          </w:p>
        </w:tc>
        <w:tc>
          <w:tcPr>
            <w:tcW w:w="1345"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olor w:val="auto"/>
                <w:sz w:val="21"/>
                <w:szCs w:val="21"/>
              </w:rPr>
            </w:pPr>
            <w:r>
              <w:rPr>
                <w:rFonts w:hint="eastAsia" w:ascii="Times New Roman" w:hAnsi="Times New Roman" w:eastAsia="仿宋"/>
                <w:color w:val="auto"/>
                <w:sz w:val="21"/>
                <w:szCs w:val="21"/>
                <w:lang w:val="en-US" w:eastAsia="zh-CN"/>
              </w:rPr>
              <w:t>10</w:t>
            </w:r>
            <w:r>
              <w:rPr>
                <w:rFonts w:ascii="Times New Roman" w:hAnsi="Times New Roman" w:eastAsia="仿宋"/>
                <w:color w:val="auto"/>
                <w:sz w:val="21"/>
                <w:szCs w:val="21"/>
              </w:rPr>
              <w:t>0</w:t>
            </w:r>
            <w:r>
              <w:rPr>
                <w:rFonts w:hint="eastAsia" w:ascii="Times New Roman" w:hAnsi="Times New Roman" w:eastAsia="仿宋"/>
                <w:color w:val="auto"/>
                <w:sz w:val="21"/>
                <w:szCs w:val="21"/>
              </w:rPr>
              <w:t>*</w:t>
            </w:r>
          </w:p>
        </w:tc>
        <w:tc>
          <w:tcPr>
            <w:tcW w:w="159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olor w:val="auto"/>
                <w:sz w:val="21"/>
                <w:szCs w:val="21"/>
              </w:rPr>
            </w:pPr>
            <w:r>
              <w:rPr>
                <w:rFonts w:hint="eastAsia" w:ascii="Times New Roman" w:hAnsi="Times New Roman" w:eastAsia="仿宋"/>
                <w:color w:val="auto"/>
                <w:sz w:val="21"/>
                <w:szCs w:val="21"/>
              </w:rPr>
              <w:t>90</w:t>
            </w:r>
          </w:p>
        </w:tc>
        <w:tc>
          <w:tcPr>
            <w:tcW w:w="159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olor w:val="auto"/>
                <w:sz w:val="21"/>
                <w:szCs w:val="21"/>
              </w:rPr>
            </w:pPr>
            <w:r>
              <w:rPr>
                <w:rFonts w:hint="eastAsia" w:ascii="Times New Roman" w:hAnsi="Times New Roman" w:eastAsia="仿宋"/>
                <w:color w:val="auto"/>
                <w:sz w:val="21"/>
                <w:szCs w:val="21"/>
              </w:rPr>
              <w:t>罐组二</w:t>
            </w:r>
          </w:p>
        </w:tc>
        <w:tc>
          <w:tcPr>
            <w:tcW w:w="158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olor w:val="auto"/>
                <w:sz w:val="21"/>
                <w:szCs w:val="21"/>
                <w:lang w:val="en-US" w:eastAsia="zh-CN"/>
              </w:rPr>
            </w:pPr>
            <w:r>
              <w:rPr>
                <w:rFonts w:hint="eastAsia" w:ascii="Times New Roman" w:hAnsi="Times New Roman" w:eastAsia="仿宋"/>
                <w:color w:val="auto"/>
                <w:sz w:val="21"/>
                <w:szCs w:val="21"/>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blHeader/>
          <w:jc w:val="center"/>
        </w:trPr>
        <w:tc>
          <w:tcPr>
            <w:tcW w:w="766"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olor w:val="auto"/>
                <w:sz w:val="21"/>
                <w:szCs w:val="21"/>
              </w:rPr>
            </w:pPr>
            <w:r>
              <w:rPr>
                <w:rFonts w:ascii="Times New Roman" w:hAnsi="Times New Roman" w:eastAsia="仿宋"/>
                <w:color w:val="auto"/>
                <w:sz w:val="21"/>
                <w:szCs w:val="21"/>
              </w:rPr>
              <w:t>2</w:t>
            </w:r>
          </w:p>
        </w:tc>
        <w:tc>
          <w:tcPr>
            <w:tcW w:w="168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s="宋体"/>
                <w:color w:val="auto"/>
                <w:kern w:val="2"/>
                <w:sz w:val="21"/>
                <w:szCs w:val="21"/>
                <w:lang w:val="en-US" w:eastAsia="zh-CN" w:bidi="ar-SA"/>
              </w:rPr>
            </w:pPr>
            <w:r>
              <w:rPr>
                <w:rFonts w:ascii="Times New Roman" w:hAnsi="Times New Roman" w:eastAsia="仿宋"/>
                <w:color w:val="auto"/>
                <w:sz w:val="21"/>
                <w:szCs w:val="21"/>
              </w:rPr>
              <w:t>双氧水</w:t>
            </w:r>
          </w:p>
        </w:tc>
        <w:tc>
          <w:tcPr>
            <w:tcW w:w="1345"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s="宋体"/>
                <w:color w:val="auto"/>
                <w:kern w:val="2"/>
                <w:sz w:val="21"/>
                <w:szCs w:val="21"/>
                <w:lang w:val="en-US" w:eastAsia="zh-CN" w:bidi="ar-SA"/>
              </w:rPr>
            </w:pPr>
            <w:r>
              <w:rPr>
                <w:rFonts w:ascii="Times New Roman" w:hAnsi="Times New Roman" w:eastAsia="仿宋"/>
                <w:color w:val="auto"/>
                <w:sz w:val="21"/>
                <w:szCs w:val="21"/>
              </w:rPr>
              <w:t>200</w:t>
            </w:r>
            <w:r>
              <w:rPr>
                <w:rFonts w:hint="eastAsia" w:ascii="Times New Roman" w:hAnsi="Times New Roman" w:eastAsia="仿宋"/>
                <w:color w:val="auto"/>
                <w:sz w:val="21"/>
                <w:szCs w:val="21"/>
              </w:rPr>
              <w:t>*</w:t>
            </w:r>
          </w:p>
        </w:tc>
        <w:tc>
          <w:tcPr>
            <w:tcW w:w="159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s="宋体"/>
                <w:color w:val="auto"/>
                <w:kern w:val="2"/>
                <w:sz w:val="21"/>
                <w:szCs w:val="21"/>
                <w:lang w:val="en-US" w:eastAsia="zh-CN" w:bidi="ar-SA"/>
              </w:rPr>
            </w:pPr>
            <w:r>
              <w:rPr>
                <w:rFonts w:hint="eastAsia" w:ascii="Times New Roman" w:hAnsi="Times New Roman" w:eastAsia="仿宋"/>
                <w:color w:val="auto"/>
                <w:sz w:val="21"/>
                <w:szCs w:val="21"/>
              </w:rPr>
              <w:t>9</w:t>
            </w:r>
          </w:p>
        </w:tc>
        <w:tc>
          <w:tcPr>
            <w:tcW w:w="159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s="宋体"/>
                <w:color w:val="auto"/>
                <w:kern w:val="2"/>
                <w:sz w:val="21"/>
                <w:szCs w:val="21"/>
                <w:lang w:val="en-US" w:eastAsia="zh-CN" w:bidi="ar-SA"/>
              </w:rPr>
            </w:pPr>
            <w:r>
              <w:rPr>
                <w:rFonts w:hint="eastAsia" w:ascii="Times New Roman" w:hAnsi="Times New Roman" w:eastAsia="仿宋"/>
                <w:color w:val="auto"/>
                <w:sz w:val="21"/>
                <w:szCs w:val="21"/>
              </w:rPr>
              <w:t>仓库</w:t>
            </w:r>
          </w:p>
        </w:tc>
        <w:tc>
          <w:tcPr>
            <w:tcW w:w="158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宋体"/>
                <w:color w:val="auto"/>
                <w:kern w:val="2"/>
                <w:sz w:val="21"/>
                <w:szCs w:val="21"/>
                <w:lang w:val="en-US" w:eastAsia="zh-CN" w:bidi="ar-SA"/>
              </w:rPr>
            </w:pPr>
            <w:r>
              <w:rPr>
                <w:rFonts w:hint="eastAsia" w:ascii="Times New Roman" w:hAnsi="Times New Roman" w:eastAsia="仿宋"/>
                <w:color w:val="auto"/>
                <w:sz w:val="21"/>
                <w:szCs w:val="21"/>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blHeader/>
          <w:jc w:val="center"/>
        </w:trPr>
        <w:tc>
          <w:tcPr>
            <w:tcW w:w="766"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olor w:val="auto"/>
                <w:sz w:val="21"/>
                <w:szCs w:val="21"/>
              </w:rPr>
            </w:pPr>
            <w:r>
              <w:rPr>
                <w:rFonts w:hint="eastAsia" w:ascii="Times New Roman" w:hAnsi="Times New Roman" w:eastAsia="仿宋"/>
                <w:color w:val="auto"/>
                <w:sz w:val="21"/>
                <w:szCs w:val="21"/>
              </w:rPr>
              <w:t>3</w:t>
            </w:r>
          </w:p>
        </w:tc>
        <w:tc>
          <w:tcPr>
            <w:tcW w:w="168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s="宋体"/>
                <w:color w:val="auto"/>
                <w:kern w:val="2"/>
                <w:sz w:val="21"/>
                <w:szCs w:val="21"/>
                <w:lang w:val="en-US" w:eastAsia="zh-CN" w:bidi="ar-SA"/>
              </w:rPr>
            </w:pPr>
            <w:r>
              <w:rPr>
                <w:rFonts w:ascii="Times New Roman" w:hAnsi="Times New Roman" w:eastAsia="仿宋"/>
                <w:color w:val="auto"/>
                <w:sz w:val="21"/>
                <w:szCs w:val="21"/>
              </w:rPr>
              <w:t>巯基丙酸</w:t>
            </w:r>
          </w:p>
        </w:tc>
        <w:tc>
          <w:tcPr>
            <w:tcW w:w="1345"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s="宋体"/>
                <w:color w:val="auto"/>
                <w:kern w:val="2"/>
                <w:sz w:val="21"/>
                <w:szCs w:val="21"/>
                <w:lang w:val="en-US" w:eastAsia="zh-CN" w:bidi="ar-SA"/>
              </w:rPr>
            </w:pPr>
            <w:r>
              <w:rPr>
                <w:rFonts w:ascii="Times New Roman" w:hAnsi="Times New Roman" w:eastAsia="仿宋"/>
                <w:color w:val="auto"/>
                <w:sz w:val="21"/>
                <w:szCs w:val="21"/>
              </w:rPr>
              <w:t>50</w:t>
            </w:r>
            <w:r>
              <w:rPr>
                <w:rFonts w:hint="eastAsia" w:ascii="Times New Roman" w:hAnsi="Times New Roman" w:eastAsia="仿宋"/>
                <w:color w:val="auto"/>
                <w:sz w:val="21"/>
                <w:szCs w:val="21"/>
              </w:rPr>
              <w:t>*</w:t>
            </w:r>
          </w:p>
        </w:tc>
        <w:tc>
          <w:tcPr>
            <w:tcW w:w="159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s="宋体"/>
                <w:color w:val="auto"/>
                <w:kern w:val="2"/>
                <w:sz w:val="21"/>
                <w:szCs w:val="21"/>
                <w:lang w:val="en-US" w:eastAsia="zh-CN" w:bidi="ar-SA"/>
              </w:rPr>
            </w:pPr>
            <w:r>
              <w:rPr>
                <w:rFonts w:hint="eastAsia" w:ascii="Times New Roman" w:hAnsi="Times New Roman" w:eastAsia="仿宋"/>
                <w:color w:val="auto"/>
                <w:sz w:val="21"/>
                <w:szCs w:val="21"/>
              </w:rPr>
              <w:t>6</w:t>
            </w:r>
          </w:p>
        </w:tc>
        <w:tc>
          <w:tcPr>
            <w:tcW w:w="159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s="宋体"/>
                <w:color w:val="auto"/>
                <w:kern w:val="2"/>
                <w:sz w:val="21"/>
                <w:szCs w:val="21"/>
                <w:lang w:val="en-US" w:eastAsia="zh-CN" w:bidi="ar-SA"/>
              </w:rPr>
            </w:pPr>
            <w:r>
              <w:rPr>
                <w:rFonts w:hint="eastAsia" w:ascii="Times New Roman" w:hAnsi="Times New Roman" w:eastAsia="仿宋"/>
                <w:color w:val="auto"/>
                <w:sz w:val="21"/>
                <w:szCs w:val="21"/>
              </w:rPr>
              <w:t>仓库</w:t>
            </w:r>
          </w:p>
        </w:tc>
        <w:tc>
          <w:tcPr>
            <w:tcW w:w="158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s="宋体"/>
                <w:color w:val="auto"/>
                <w:kern w:val="2"/>
                <w:sz w:val="21"/>
                <w:szCs w:val="21"/>
                <w:lang w:val="en-US" w:eastAsia="zh-CN" w:bidi="ar-SA"/>
              </w:rPr>
            </w:pPr>
            <w:r>
              <w:rPr>
                <w:rFonts w:hint="eastAsia" w:ascii="Times New Roman" w:hAnsi="Times New Roman" w:eastAsia="仿宋"/>
                <w:color w:val="auto"/>
                <w:sz w:val="21"/>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blHeader/>
          <w:jc w:val="center"/>
        </w:trPr>
        <w:tc>
          <w:tcPr>
            <w:tcW w:w="6979" w:type="dxa"/>
            <w:gridSpan w:val="5"/>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olor w:val="auto"/>
                <w:sz w:val="21"/>
                <w:szCs w:val="21"/>
              </w:rPr>
            </w:pPr>
            <w:r>
              <w:rPr>
                <w:rFonts w:ascii="Times New Roman" w:hAnsi="Times New Roman" w:eastAsia="仿宋"/>
                <w:color w:val="auto"/>
                <w:sz w:val="21"/>
                <w:szCs w:val="21"/>
              </w:rPr>
              <w:t>合计</w:t>
            </w:r>
          </w:p>
        </w:tc>
        <w:tc>
          <w:tcPr>
            <w:tcW w:w="158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olor w:val="auto"/>
                <w:sz w:val="21"/>
                <w:szCs w:val="21"/>
                <w:lang w:val="en-US" w:eastAsia="zh-CN"/>
              </w:rPr>
            </w:pPr>
            <w:r>
              <w:rPr>
                <w:rFonts w:hint="eastAsia" w:ascii="Times New Roman" w:hAnsi="Times New Roman" w:eastAsia="仿宋"/>
                <w:color w:val="auto"/>
                <w:sz w:val="21"/>
                <w:szCs w:val="21"/>
                <w:lang w:val="en-US" w:eastAsia="zh-CN"/>
              </w:rPr>
              <w:t>1.065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blHeader/>
          <w:jc w:val="center"/>
        </w:trPr>
        <w:tc>
          <w:tcPr>
            <w:tcW w:w="8559" w:type="dxa"/>
            <w:gridSpan w:val="6"/>
            <w:vAlign w:val="center"/>
          </w:tcPr>
          <w:p>
            <w:pPr>
              <w:pStyle w:val="33"/>
              <w:pBdr>
                <w:top w:val="none" w:color="000000" w:sz="0" w:space="0"/>
                <w:left w:val="none" w:color="000000" w:sz="0" w:space="0"/>
                <w:bottom w:val="none" w:color="000000" w:sz="0" w:space="0"/>
                <w:right w:val="none" w:color="000000" w:sz="0" w:space="0"/>
                <w:between w:val="none" w:color="000000" w:sz="0" w:space="0"/>
              </w:pBdr>
              <w:jc w:val="left"/>
              <w:rPr>
                <w:rFonts w:ascii="Times New Roman" w:hAnsi="Times New Roman" w:eastAsia="仿宋"/>
                <w:color w:val="auto"/>
                <w:sz w:val="21"/>
                <w:szCs w:val="21"/>
              </w:rPr>
            </w:pPr>
            <w:r>
              <w:rPr>
                <w:rFonts w:hint="eastAsia" w:ascii="Times New Roman" w:hAnsi="Times New Roman" w:eastAsia="仿宋"/>
                <w:color w:val="auto"/>
                <w:sz w:val="21"/>
                <w:szCs w:val="21"/>
              </w:rPr>
              <w:t>*第八部分其他类物质及污染物，该物质临界量参考GB18128-2018</w:t>
            </w:r>
          </w:p>
        </w:tc>
      </w:tr>
    </w:tbl>
    <w:p>
      <w:pPr>
        <w:pStyle w:val="8"/>
        <w:spacing w:beforeLines="50" w:afterLines="50" w:line="500" w:lineRule="exact"/>
        <w:ind w:firstLine="560"/>
        <w:rPr>
          <w:rFonts w:ascii="Times New Roman" w:eastAsia="仿宋"/>
          <w:b/>
          <w:color w:val="auto"/>
          <w:szCs w:val="28"/>
        </w:rPr>
      </w:pPr>
      <w:r>
        <w:rPr>
          <w:rFonts w:ascii="Times New Roman" w:eastAsia="仿宋"/>
          <w:color w:val="auto"/>
        </w:rPr>
        <w:t>按公式计算：q</w:t>
      </w:r>
      <w:r>
        <w:rPr>
          <w:rFonts w:ascii="Times New Roman" w:eastAsia="仿宋"/>
          <w:color w:val="auto"/>
          <w:vertAlign w:val="subscript"/>
        </w:rPr>
        <w:t>1</w:t>
      </w:r>
      <w:r>
        <w:rPr>
          <w:rFonts w:ascii="Times New Roman" w:eastAsia="仿宋"/>
          <w:color w:val="auto"/>
        </w:rPr>
        <w:t>/Q</w:t>
      </w:r>
      <w:r>
        <w:rPr>
          <w:rFonts w:ascii="Times New Roman" w:eastAsia="仿宋"/>
          <w:color w:val="auto"/>
          <w:vertAlign w:val="subscript"/>
        </w:rPr>
        <w:t>1</w:t>
      </w:r>
      <w:r>
        <w:rPr>
          <w:rFonts w:ascii="Times New Roman" w:eastAsia="仿宋"/>
          <w:color w:val="auto"/>
        </w:rPr>
        <w:t>＋q</w:t>
      </w:r>
      <w:r>
        <w:rPr>
          <w:rFonts w:ascii="Times New Roman" w:eastAsia="仿宋"/>
          <w:color w:val="auto"/>
          <w:vertAlign w:val="subscript"/>
        </w:rPr>
        <w:t>2</w:t>
      </w:r>
      <w:r>
        <w:rPr>
          <w:rFonts w:ascii="Times New Roman" w:eastAsia="仿宋"/>
          <w:color w:val="auto"/>
        </w:rPr>
        <w:t>/Q</w:t>
      </w:r>
      <w:r>
        <w:rPr>
          <w:rFonts w:ascii="Times New Roman" w:eastAsia="仿宋"/>
          <w:color w:val="auto"/>
          <w:vertAlign w:val="subscript"/>
        </w:rPr>
        <w:t>2</w:t>
      </w:r>
      <w:r>
        <w:rPr>
          <w:rFonts w:ascii="Times New Roman" w:eastAsia="仿宋"/>
          <w:color w:val="auto"/>
        </w:rPr>
        <w:t>……=</w:t>
      </w:r>
      <w:r>
        <w:rPr>
          <w:rFonts w:hint="eastAsia" w:ascii="Times New Roman" w:eastAsia="仿宋"/>
          <w:color w:val="auto"/>
          <w:lang w:val="en-US" w:eastAsia="zh-CN"/>
        </w:rPr>
        <w:t>1.065</w:t>
      </w:r>
      <w:r>
        <w:rPr>
          <w:rFonts w:ascii="Times New Roman" w:eastAsia="仿宋"/>
          <w:color w:val="auto"/>
        </w:rPr>
        <w:t>，属于</w:t>
      </w:r>
      <w:r>
        <w:rPr>
          <w:rFonts w:ascii="Times New Roman" w:eastAsia="仿宋"/>
          <w:color w:val="auto"/>
          <w:highlight w:val="none"/>
        </w:rPr>
        <w:t>Q</w:t>
      </w:r>
      <w:r>
        <w:rPr>
          <w:rFonts w:hint="default" w:ascii="Times New Roman" w:hAnsi="Times New Roman" w:eastAsia="仿宋" w:cs="Times New Roman"/>
          <w:color w:val="auto"/>
          <w:highlight w:val="none"/>
        </w:rPr>
        <w:t>&gt;</w:t>
      </w:r>
      <w:r>
        <w:rPr>
          <w:rFonts w:ascii="Times New Roman" w:eastAsia="仿宋"/>
          <w:color w:val="auto"/>
          <w:highlight w:val="none"/>
        </w:rPr>
        <w:t>1</w:t>
      </w:r>
      <w:r>
        <w:rPr>
          <w:rFonts w:ascii="Times New Roman" w:eastAsia="仿宋"/>
          <w:color w:val="auto"/>
        </w:rPr>
        <w:t>范围内，以Q</w:t>
      </w:r>
      <w:r>
        <w:rPr>
          <w:rFonts w:hint="eastAsia" w:ascii="Times New Roman" w:eastAsia="仿宋"/>
          <w:color w:val="auto"/>
          <w:vertAlign w:val="subscript"/>
          <w:lang w:val="en-US" w:eastAsia="zh-CN"/>
        </w:rPr>
        <w:t>1</w:t>
      </w:r>
      <w:r>
        <w:rPr>
          <w:rFonts w:ascii="Times New Roman" w:eastAsia="仿宋"/>
          <w:color w:val="auto"/>
        </w:rPr>
        <w:t>计</w:t>
      </w:r>
      <w:r>
        <w:rPr>
          <w:rFonts w:hint="eastAsia" w:ascii="Times New Roman" w:eastAsia="仿宋"/>
          <w:color w:val="auto"/>
        </w:rPr>
        <w:t>。</w:t>
      </w:r>
    </w:p>
    <w:p>
      <w:pPr>
        <w:pStyle w:val="8"/>
        <w:spacing w:beforeLines="50" w:afterLines="50" w:line="500" w:lineRule="exact"/>
        <w:ind w:firstLine="0" w:firstLineChars="0"/>
        <w:outlineLvl w:val="2"/>
        <w:rPr>
          <w:rFonts w:hint="eastAsia" w:ascii="Times New Roman" w:eastAsia="仿宋"/>
          <w:b/>
          <w:color w:val="auto"/>
          <w:szCs w:val="28"/>
        </w:rPr>
      </w:pPr>
      <w:bookmarkStart w:id="104" w:name="_Toc30723"/>
      <w:r>
        <w:rPr>
          <w:rFonts w:hint="eastAsia" w:ascii="Times New Roman" w:eastAsia="仿宋"/>
          <w:b/>
          <w:color w:val="auto"/>
          <w:szCs w:val="28"/>
        </w:rPr>
        <w:t>6.2.2生产工艺与大气环境风险控制水平（M）</w:t>
      </w:r>
      <w:bookmarkEnd w:id="104"/>
    </w:p>
    <w:p>
      <w:pPr>
        <w:snapToGrid w:val="0"/>
        <w:spacing w:line="500" w:lineRule="exact"/>
        <w:ind w:firstLine="560" w:firstLineChars="200"/>
        <w:rPr>
          <w:rFonts w:hint="default" w:ascii="Times New Roman" w:hAnsi="Times New Roman" w:eastAsia="宋体" w:cs="Times New Roman"/>
          <w:color w:val="auto"/>
          <w:sz w:val="28"/>
          <w:szCs w:val="28"/>
          <w:lang w:eastAsia="zh-CN"/>
        </w:rPr>
      </w:pPr>
      <w:r>
        <w:rPr>
          <w:rFonts w:hint="default" w:ascii="Times New Roman" w:hAnsi="Times New Roman" w:eastAsia="仿宋" w:cs="Times New Roman"/>
          <w:color w:val="auto"/>
          <w:sz w:val="28"/>
          <w:szCs w:val="28"/>
        </w:rPr>
        <w:t>采用评分法对企业生产工艺过程、大气环境风险防控措施及突发大气环境事件发生情况进行评估，将各项指标分值累加，确定企业生产工艺过程与大气环境风险控制水平（M）</w:t>
      </w:r>
      <w:r>
        <w:rPr>
          <w:rFonts w:hint="default" w:ascii="Times New Roman" w:hAnsi="Times New Roman" w:cs="Times New Roman"/>
          <w:color w:val="auto"/>
          <w:sz w:val="28"/>
          <w:szCs w:val="28"/>
        </w:rPr>
        <w:t>。</w:t>
      </w:r>
    </w:p>
    <w:p>
      <w:pPr>
        <w:snapToGrid w:val="0"/>
        <w:spacing w:line="500" w:lineRule="exact"/>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（1）生产工艺过程含有风险工艺和设备情况</w:t>
      </w:r>
    </w:p>
    <w:p>
      <w:pPr>
        <w:snapToGrid w:val="0"/>
        <w:spacing w:line="500" w:lineRule="exact"/>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根据《企业突发环境事件风险分级方法》，按照表7.1-2来对企业生产工艺过程含有风险工艺和设备情况的评估按照工艺单元进行，具有多套工艺单元的企业，对每套工艺单元分别评分并求和，该指标分值最高为30分。</w:t>
      </w:r>
    </w:p>
    <w:p>
      <w:pPr>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表</w:t>
      </w:r>
      <w:r>
        <w:rPr>
          <w:rFonts w:hint="eastAsia" w:ascii="Times New Roman" w:hAnsi="Times New Roman" w:eastAsia="仿宋" w:cs="Times New Roman"/>
          <w:b/>
          <w:bCs/>
          <w:color w:val="auto"/>
          <w:sz w:val="24"/>
          <w:szCs w:val="24"/>
        </w:rPr>
        <w:t>6.2</w:t>
      </w:r>
      <w:r>
        <w:rPr>
          <w:rFonts w:hint="default" w:ascii="Times New Roman" w:hAnsi="Times New Roman" w:eastAsia="仿宋" w:cs="Times New Roman"/>
          <w:b/>
          <w:bCs/>
          <w:color w:val="auto"/>
          <w:sz w:val="24"/>
          <w:szCs w:val="24"/>
        </w:rPr>
        <w:t>-2    企业生产工艺过程评估</w:t>
      </w:r>
    </w:p>
    <w:tbl>
      <w:tblPr>
        <w:tblStyle w:val="21"/>
        <w:tblW w:w="894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630"/>
        <w:gridCol w:w="919"/>
        <w:gridCol w:w="956"/>
        <w:gridCol w:w="34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0" w:type="dxa"/>
            <w:vAlign w:val="center"/>
          </w:tcPr>
          <w:p>
            <w:pPr>
              <w:jc w:val="center"/>
              <w:rPr>
                <w:rFonts w:hint="default" w:ascii="Times New Roman" w:hAnsi="Times New Roman" w:eastAsia="仿宋" w:cs="Times New Roman"/>
                <w:b/>
                <w:bCs/>
                <w:snapToGrid w:val="0"/>
                <w:color w:val="auto"/>
                <w:sz w:val="21"/>
                <w:szCs w:val="21"/>
              </w:rPr>
            </w:pPr>
            <w:r>
              <w:rPr>
                <w:rFonts w:hint="default" w:ascii="Times New Roman" w:hAnsi="Times New Roman" w:eastAsia="仿宋" w:cs="Times New Roman"/>
                <w:b/>
                <w:bCs/>
                <w:snapToGrid w:val="0"/>
                <w:color w:val="auto"/>
                <w:sz w:val="21"/>
                <w:szCs w:val="21"/>
              </w:rPr>
              <w:t>评估依据</w:t>
            </w:r>
          </w:p>
        </w:tc>
        <w:tc>
          <w:tcPr>
            <w:tcW w:w="919" w:type="dxa"/>
            <w:vAlign w:val="center"/>
          </w:tcPr>
          <w:p>
            <w:pPr>
              <w:jc w:val="center"/>
              <w:rPr>
                <w:rFonts w:hint="default" w:ascii="Times New Roman" w:hAnsi="Times New Roman" w:eastAsia="仿宋" w:cs="Times New Roman"/>
                <w:b/>
                <w:bCs/>
                <w:snapToGrid w:val="0"/>
                <w:color w:val="auto"/>
                <w:sz w:val="21"/>
                <w:szCs w:val="21"/>
              </w:rPr>
            </w:pPr>
            <w:r>
              <w:rPr>
                <w:rFonts w:hint="default" w:ascii="Times New Roman" w:hAnsi="Times New Roman" w:eastAsia="仿宋" w:cs="Times New Roman"/>
                <w:b/>
                <w:bCs/>
                <w:snapToGrid w:val="0"/>
                <w:color w:val="auto"/>
                <w:sz w:val="21"/>
                <w:szCs w:val="21"/>
              </w:rPr>
              <w:t>分值</w:t>
            </w:r>
          </w:p>
          <w:p>
            <w:pPr>
              <w:jc w:val="center"/>
              <w:rPr>
                <w:rFonts w:hint="default" w:ascii="Times New Roman" w:hAnsi="Times New Roman" w:eastAsia="仿宋" w:cs="Times New Roman"/>
                <w:b/>
                <w:bCs/>
                <w:snapToGrid w:val="0"/>
                <w:color w:val="auto"/>
                <w:sz w:val="21"/>
                <w:szCs w:val="21"/>
              </w:rPr>
            </w:pPr>
            <w:r>
              <w:rPr>
                <w:rFonts w:hint="default" w:ascii="Times New Roman" w:hAnsi="Times New Roman" w:eastAsia="仿宋" w:cs="Times New Roman"/>
                <w:b/>
                <w:bCs/>
                <w:snapToGrid w:val="0"/>
                <w:color w:val="auto"/>
                <w:sz w:val="21"/>
                <w:szCs w:val="21"/>
              </w:rPr>
              <w:t>标准</w:t>
            </w:r>
          </w:p>
        </w:tc>
        <w:tc>
          <w:tcPr>
            <w:tcW w:w="956" w:type="dxa"/>
            <w:vAlign w:val="center"/>
          </w:tcPr>
          <w:p>
            <w:pPr>
              <w:jc w:val="center"/>
              <w:rPr>
                <w:rFonts w:hint="default" w:ascii="Times New Roman" w:hAnsi="Times New Roman" w:eastAsia="仿宋" w:cs="Times New Roman"/>
                <w:b/>
                <w:bCs/>
                <w:snapToGrid w:val="0"/>
                <w:color w:val="auto"/>
                <w:sz w:val="21"/>
                <w:szCs w:val="21"/>
              </w:rPr>
            </w:pPr>
            <w:r>
              <w:rPr>
                <w:rFonts w:hint="default" w:ascii="Times New Roman" w:hAnsi="Times New Roman" w:eastAsia="仿宋" w:cs="Times New Roman"/>
                <w:b/>
                <w:bCs/>
                <w:snapToGrid w:val="0"/>
                <w:color w:val="auto"/>
                <w:sz w:val="21"/>
                <w:szCs w:val="21"/>
              </w:rPr>
              <w:t>企业</w:t>
            </w:r>
          </w:p>
          <w:p>
            <w:pPr>
              <w:jc w:val="center"/>
              <w:rPr>
                <w:rFonts w:hint="default" w:ascii="Times New Roman" w:hAnsi="Times New Roman" w:eastAsia="仿宋" w:cs="Times New Roman"/>
                <w:b/>
                <w:bCs/>
                <w:snapToGrid w:val="0"/>
                <w:color w:val="auto"/>
                <w:sz w:val="21"/>
                <w:szCs w:val="21"/>
              </w:rPr>
            </w:pPr>
            <w:r>
              <w:rPr>
                <w:rFonts w:hint="default" w:ascii="Times New Roman" w:hAnsi="Times New Roman" w:eastAsia="仿宋" w:cs="Times New Roman"/>
                <w:b/>
                <w:bCs/>
                <w:snapToGrid w:val="0"/>
                <w:color w:val="auto"/>
                <w:sz w:val="21"/>
                <w:szCs w:val="21"/>
              </w:rPr>
              <w:t>得分</w:t>
            </w:r>
          </w:p>
        </w:tc>
        <w:tc>
          <w:tcPr>
            <w:tcW w:w="3442" w:type="dxa"/>
            <w:vAlign w:val="center"/>
          </w:tcPr>
          <w:p>
            <w:pPr>
              <w:jc w:val="center"/>
              <w:rPr>
                <w:rFonts w:hint="default" w:ascii="Times New Roman" w:hAnsi="Times New Roman" w:eastAsia="仿宋" w:cs="Times New Roman"/>
                <w:b/>
                <w:bCs/>
                <w:snapToGrid w:val="0"/>
                <w:color w:val="auto"/>
                <w:sz w:val="21"/>
                <w:szCs w:val="21"/>
              </w:rPr>
            </w:pPr>
            <w:r>
              <w:rPr>
                <w:rFonts w:hint="default" w:ascii="Times New Roman" w:hAnsi="Times New Roman" w:eastAsia="仿宋" w:cs="Times New Roman"/>
                <w:b/>
                <w:bCs/>
                <w:snapToGrid w:val="0"/>
                <w:color w:val="auto"/>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0" w:type="dxa"/>
            <w:vAlign w:val="center"/>
          </w:tcPr>
          <w:p>
            <w:pPr>
              <w:jc w:val="left"/>
              <w:rPr>
                <w:rFonts w:hint="default" w:ascii="Times New Roman" w:hAnsi="Times New Roman" w:eastAsia="仿宋" w:cs="Times New Roman"/>
                <w:snapToGrid w:val="0"/>
                <w:color w:val="auto"/>
                <w:sz w:val="21"/>
                <w:szCs w:val="21"/>
              </w:rPr>
            </w:pPr>
            <w:r>
              <w:rPr>
                <w:rFonts w:hint="default" w:ascii="Times New Roman" w:hAnsi="Times New Roman" w:eastAsia="仿宋" w:cs="Times New Roman"/>
                <w:snapToGrid w:val="0"/>
                <w:color w:val="auto"/>
                <w:sz w:val="21"/>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919" w:type="dxa"/>
            <w:vAlign w:val="center"/>
          </w:tcPr>
          <w:p>
            <w:pPr>
              <w:jc w:val="center"/>
              <w:rPr>
                <w:rFonts w:hint="default" w:ascii="Times New Roman" w:hAnsi="Times New Roman" w:eastAsia="仿宋" w:cs="Times New Roman"/>
                <w:snapToGrid w:val="0"/>
                <w:color w:val="auto"/>
                <w:sz w:val="21"/>
                <w:szCs w:val="21"/>
              </w:rPr>
            </w:pPr>
            <w:r>
              <w:rPr>
                <w:rFonts w:hint="default" w:ascii="Times New Roman" w:hAnsi="Times New Roman" w:eastAsia="仿宋" w:cs="Times New Roman"/>
                <w:snapToGrid w:val="0"/>
                <w:color w:val="auto"/>
                <w:sz w:val="21"/>
                <w:szCs w:val="21"/>
              </w:rPr>
              <w:t>10/每套</w:t>
            </w:r>
          </w:p>
        </w:tc>
        <w:tc>
          <w:tcPr>
            <w:tcW w:w="956" w:type="dxa"/>
            <w:vAlign w:val="center"/>
          </w:tcPr>
          <w:p>
            <w:pPr>
              <w:jc w:val="center"/>
              <w:rPr>
                <w:rFonts w:hint="default" w:ascii="Times New Roman" w:hAnsi="Times New Roman" w:eastAsia="仿宋" w:cs="Times New Roman"/>
                <w:snapToGrid w:val="0"/>
                <w:color w:val="auto"/>
                <w:sz w:val="21"/>
                <w:szCs w:val="21"/>
                <w:lang w:val="en-US" w:eastAsia="zh-CN"/>
              </w:rPr>
            </w:pPr>
            <w:r>
              <w:rPr>
                <w:rFonts w:hint="eastAsia" w:ascii="Times New Roman" w:hAnsi="Times New Roman" w:eastAsia="仿宋" w:cs="Times New Roman"/>
                <w:snapToGrid w:val="0"/>
                <w:color w:val="auto"/>
                <w:sz w:val="21"/>
                <w:szCs w:val="21"/>
                <w:lang w:val="en-US" w:eastAsia="zh-CN"/>
              </w:rPr>
              <w:t>0</w:t>
            </w:r>
          </w:p>
        </w:tc>
        <w:tc>
          <w:tcPr>
            <w:tcW w:w="3442" w:type="dxa"/>
            <w:vAlign w:val="center"/>
          </w:tcPr>
          <w:p>
            <w:pPr>
              <w:jc w:val="both"/>
              <w:rPr>
                <w:rFonts w:hint="default" w:ascii="Times New Roman" w:hAnsi="Times New Roman" w:eastAsia="仿宋" w:cs="Times New Roman"/>
                <w:snapToGrid w:val="0"/>
                <w:color w:val="auto"/>
                <w:sz w:val="21"/>
                <w:szCs w:val="21"/>
                <w:lang w:val="en-US" w:eastAsia="zh-CN"/>
              </w:rPr>
            </w:pPr>
            <w:r>
              <w:rPr>
                <w:rFonts w:hint="eastAsia" w:ascii="Times New Roman" w:hAnsi="Times New Roman" w:eastAsia="仿宋" w:cs="Times New Roman"/>
                <w:snapToGrid w:val="0"/>
                <w:color w:val="auto"/>
                <w:sz w:val="21"/>
                <w:szCs w:val="21"/>
                <w:lang w:val="en-US" w:eastAsia="zh-CN"/>
              </w:rPr>
              <w:t>根据</w:t>
            </w:r>
            <w:r>
              <w:rPr>
                <w:rFonts w:hint="default" w:ascii="Times New Roman" w:hAnsi="Times New Roman" w:eastAsia="仿宋" w:cs="Times New Roman"/>
                <w:snapToGrid w:val="0"/>
                <w:color w:val="auto"/>
                <w:sz w:val="21"/>
                <w:szCs w:val="21"/>
                <w:lang w:val="en-US" w:eastAsia="zh-CN"/>
              </w:rPr>
              <w:t>安监总管三〔2013〕3号《国家安全监管总局关于公布第二批重点监管危险化工工艺目录和调整首批重点监管危险化工工艺中部分典型工艺的通知》，涉及涂料、粘合剂、油漆等产品的常压条件生产聚合工艺不再列入“聚合工艺”</w:t>
            </w:r>
            <w:r>
              <w:rPr>
                <w:rFonts w:hint="eastAsia" w:ascii="Times New Roman" w:hAnsi="Times New Roman" w:eastAsia="仿宋" w:cs="Times New Roman"/>
                <w:snapToGrid w:val="0"/>
                <w:color w:val="auto"/>
                <w:sz w:val="21"/>
                <w:szCs w:val="21"/>
                <w:lang w:val="en-US" w:eastAsia="zh-CN"/>
              </w:rPr>
              <w:t>（附非危险工艺辨识）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0" w:type="dxa"/>
            <w:vAlign w:val="center"/>
          </w:tcPr>
          <w:p>
            <w:pPr>
              <w:jc w:val="left"/>
              <w:rPr>
                <w:rFonts w:hint="default" w:ascii="Times New Roman" w:hAnsi="Times New Roman" w:eastAsia="仿宋" w:cs="Times New Roman"/>
                <w:snapToGrid w:val="0"/>
                <w:color w:val="auto"/>
                <w:sz w:val="21"/>
                <w:szCs w:val="21"/>
              </w:rPr>
            </w:pPr>
            <w:r>
              <w:rPr>
                <w:rFonts w:hint="default" w:ascii="Times New Roman" w:hAnsi="Times New Roman" w:eastAsia="仿宋" w:cs="Times New Roman"/>
                <w:snapToGrid w:val="0"/>
                <w:color w:val="auto"/>
                <w:sz w:val="21"/>
                <w:szCs w:val="21"/>
              </w:rPr>
              <w:t>其他高温或高压、涉及易燃易爆等物质的工艺过程</w:t>
            </w:r>
            <w:r>
              <w:rPr>
                <w:rFonts w:hint="default" w:ascii="Times New Roman" w:hAnsi="Times New Roman" w:eastAsia="仿宋" w:cs="Times New Roman"/>
                <w:snapToGrid w:val="0"/>
                <w:color w:val="auto"/>
                <w:sz w:val="21"/>
                <w:szCs w:val="21"/>
                <w:vertAlign w:val="superscript"/>
              </w:rPr>
              <w:t>a</w:t>
            </w:r>
          </w:p>
        </w:tc>
        <w:tc>
          <w:tcPr>
            <w:tcW w:w="919" w:type="dxa"/>
            <w:vAlign w:val="center"/>
          </w:tcPr>
          <w:p>
            <w:pPr>
              <w:jc w:val="center"/>
              <w:rPr>
                <w:rFonts w:hint="default" w:ascii="Times New Roman" w:hAnsi="Times New Roman" w:eastAsia="仿宋" w:cs="Times New Roman"/>
                <w:snapToGrid w:val="0"/>
                <w:color w:val="auto"/>
                <w:sz w:val="21"/>
                <w:szCs w:val="21"/>
              </w:rPr>
            </w:pPr>
            <w:r>
              <w:rPr>
                <w:rFonts w:hint="default" w:ascii="Times New Roman" w:hAnsi="Times New Roman" w:eastAsia="仿宋" w:cs="Times New Roman"/>
                <w:snapToGrid w:val="0"/>
                <w:color w:val="auto"/>
                <w:sz w:val="21"/>
                <w:szCs w:val="21"/>
              </w:rPr>
              <w:t>5/每套</w:t>
            </w:r>
          </w:p>
        </w:tc>
        <w:tc>
          <w:tcPr>
            <w:tcW w:w="956" w:type="dxa"/>
            <w:vAlign w:val="center"/>
          </w:tcPr>
          <w:p>
            <w:pPr>
              <w:jc w:val="center"/>
              <w:rPr>
                <w:rFonts w:hint="default" w:ascii="Times New Roman" w:hAnsi="Times New Roman" w:eastAsia="仿宋" w:cs="Times New Roman"/>
                <w:snapToGrid w:val="0"/>
                <w:color w:val="auto"/>
                <w:sz w:val="21"/>
                <w:szCs w:val="21"/>
                <w:lang w:val="en-US" w:eastAsia="zh-CN"/>
              </w:rPr>
            </w:pPr>
            <w:r>
              <w:rPr>
                <w:rFonts w:hint="eastAsia" w:ascii="Times New Roman" w:hAnsi="Times New Roman" w:eastAsia="仿宋" w:cs="Times New Roman"/>
                <w:snapToGrid w:val="0"/>
                <w:color w:val="auto"/>
                <w:sz w:val="21"/>
                <w:szCs w:val="21"/>
                <w:lang w:val="en-US" w:eastAsia="zh-CN"/>
              </w:rPr>
              <w:t>0</w:t>
            </w:r>
          </w:p>
        </w:tc>
        <w:tc>
          <w:tcPr>
            <w:tcW w:w="3442" w:type="dxa"/>
            <w:vAlign w:val="center"/>
          </w:tcPr>
          <w:p>
            <w:pPr>
              <w:jc w:val="both"/>
              <w:rPr>
                <w:rFonts w:hint="default" w:ascii="Times New Roman" w:hAnsi="Times New Roman" w:eastAsia="仿宋" w:cs="Times New Roman"/>
                <w:snapToGrid w:val="0"/>
                <w:color w:val="auto"/>
                <w:sz w:val="21"/>
                <w:szCs w:val="21"/>
                <w:lang w:val="en-US" w:eastAsia="zh-CN"/>
              </w:rPr>
            </w:pPr>
            <w:r>
              <w:rPr>
                <w:rFonts w:hint="default" w:ascii="Times New Roman" w:hAnsi="Times New Roman" w:eastAsia="仿宋" w:cs="Times New Roman"/>
                <w:snapToGrid w:val="0"/>
                <w:color w:val="auto"/>
                <w:sz w:val="21"/>
                <w:szCs w:val="21"/>
                <w:lang w:eastAsia="zh-CN"/>
              </w:rPr>
              <w:t>根据</w:t>
            </w:r>
            <w:r>
              <w:rPr>
                <w:rFonts w:hint="default" w:ascii="Times New Roman" w:hAnsi="Times New Roman" w:eastAsia="仿宋" w:cs="Times New Roman"/>
                <w:snapToGrid w:val="0"/>
                <w:color w:val="auto"/>
                <w:sz w:val="21"/>
                <w:szCs w:val="21"/>
                <w:lang w:val="en-US" w:eastAsia="zh-CN"/>
              </w:rPr>
              <w:t>GB30000.7，丙烯酸为易燃液体，</w:t>
            </w:r>
            <w:r>
              <w:rPr>
                <w:rFonts w:hint="eastAsia" w:ascii="Times New Roman" w:hAnsi="Times New Roman" w:eastAsia="仿宋" w:cs="Times New Roman"/>
                <w:snapToGrid w:val="0"/>
                <w:color w:val="auto"/>
                <w:sz w:val="21"/>
                <w:szCs w:val="21"/>
                <w:lang w:val="en-US" w:eastAsia="zh-CN"/>
              </w:rPr>
              <w:t>根据企业提供生产工艺过程，</w:t>
            </w:r>
            <w:r>
              <w:rPr>
                <w:rFonts w:hint="default" w:ascii="Times New Roman" w:hAnsi="Times New Roman" w:eastAsia="仿宋" w:cs="Times New Roman"/>
                <w:snapToGrid w:val="0"/>
                <w:color w:val="auto"/>
                <w:sz w:val="21"/>
                <w:szCs w:val="21"/>
                <w:lang w:val="en-US" w:eastAsia="zh-CN"/>
              </w:rPr>
              <w:t>企业</w:t>
            </w:r>
            <w:r>
              <w:rPr>
                <w:rFonts w:hint="eastAsia" w:ascii="Times New Roman" w:hAnsi="Times New Roman" w:eastAsia="仿宋" w:cs="Times New Roman"/>
                <w:snapToGrid w:val="0"/>
                <w:color w:val="auto"/>
                <w:sz w:val="21"/>
                <w:szCs w:val="21"/>
                <w:lang w:val="en-US" w:eastAsia="zh-CN"/>
              </w:rPr>
              <w:t>使用丙烯酸作为辅料，在反应之前先用纯水配料至36%左右，然后滴加至聚醚水溶液的反应釜中，根据企业提供的一个批次的物料平衡计算，一个批次的生产过程中丙烯酸滴加至反应釜的量约占的比例为5%左右</w:t>
            </w:r>
            <w:r>
              <w:rPr>
                <w:rFonts w:hint="default" w:ascii="Times New Roman" w:hAnsi="Times New Roman" w:eastAsia="仿宋" w:cs="Times New Roman"/>
                <w:snapToGrid w:val="0"/>
                <w:color w:val="auto"/>
                <w:sz w:val="21"/>
                <w:szCs w:val="21"/>
                <w:lang w:val="en-US" w:eastAsia="zh-CN"/>
              </w:rPr>
              <w:t>。</w:t>
            </w:r>
            <w:r>
              <w:rPr>
                <w:rFonts w:hint="eastAsia" w:ascii="Times New Roman" w:hAnsi="Times New Roman" w:eastAsia="仿宋" w:cs="Times New Roman"/>
                <w:snapToGrid w:val="0"/>
                <w:color w:val="auto"/>
                <w:sz w:val="21"/>
                <w:szCs w:val="21"/>
                <w:lang w:val="en-US" w:eastAsia="zh-CN"/>
              </w:rPr>
              <w:t>整个生产过程为常温常压（附生产工艺过程）。发生火灾、爆炸的可能性较小。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0" w:type="dxa"/>
            <w:vAlign w:val="center"/>
          </w:tcPr>
          <w:p>
            <w:pPr>
              <w:jc w:val="left"/>
              <w:rPr>
                <w:rFonts w:hint="default" w:ascii="Times New Roman" w:hAnsi="Times New Roman" w:eastAsia="仿宋" w:cs="Times New Roman"/>
                <w:snapToGrid w:val="0"/>
                <w:color w:val="auto"/>
                <w:sz w:val="21"/>
                <w:szCs w:val="21"/>
              </w:rPr>
            </w:pPr>
            <w:r>
              <w:rPr>
                <w:rFonts w:hint="default" w:ascii="Times New Roman" w:hAnsi="Times New Roman" w:eastAsia="仿宋" w:cs="Times New Roman"/>
                <w:snapToGrid w:val="0"/>
                <w:color w:val="auto"/>
                <w:sz w:val="21"/>
                <w:szCs w:val="21"/>
              </w:rPr>
              <w:t>具有国家规定限期淘汰的工艺名录和设备</w:t>
            </w:r>
            <w:r>
              <w:rPr>
                <w:rFonts w:hint="default" w:ascii="Times New Roman" w:hAnsi="Times New Roman" w:eastAsia="仿宋" w:cs="Times New Roman"/>
                <w:snapToGrid w:val="0"/>
                <w:color w:val="auto"/>
                <w:sz w:val="21"/>
                <w:szCs w:val="21"/>
                <w:vertAlign w:val="superscript"/>
              </w:rPr>
              <w:t>b</w:t>
            </w:r>
          </w:p>
        </w:tc>
        <w:tc>
          <w:tcPr>
            <w:tcW w:w="919" w:type="dxa"/>
            <w:vAlign w:val="center"/>
          </w:tcPr>
          <w:p>
            <w:pPr>
              <w:jc w:val="center"/>
              <w:rPr>
                <w:rFonts w:hint="default" w:ascii="Times New Roman" w:hAnsi="Times New Roman" w:eastAsia="仿宋" w:cs="Times New Roman"/>
                <w:snapToGrid w:val="0"/>
                <w:color w:val="auto"/>
                <w:sz w:val="21"/>
                <w:szCs w:val="21"/>
              </w:rPr>
            </w:pPr>
            <w:r>
              <w:rPr>
                <w:rFonts w:hint="default" w:ascii="Times New Roman" w:hAnsi="Times New Roman" w:eastAsia="仿宋" w:cs="Times New Roman"/>
                <w:snapToGrid w:val="0"/>
                <w:color w:val="auto"/>
                <w:sz w:val="21"/>
                <w:szCs w:val="21"/>
              </w:rPr>
              <w:t>5/每套</w:t>
            </w:r>
          </w:p>
        </w:tc>
        <w:tc>
          <w:tcPr>
            <w:tcW w:w="956" w:type="dxa"/>
            <w:vAlign w:val="center"/>
          </w:tcPr>
          <w:p>
            <w:pPr>
              <w:jc w:val="center"/>
              <w:rPr>
                <w:rFonts w:hint="default" w:ascii="Times New Roman" w:hAnsi="Times New Roman" w:eastAsia="仿宋" w:cs="Times New Roman"/>
                <w:snapToGrid w:val="0"/>
                <w:color w:val="auto"/>
                <w:sz w:val="21"/>
                <w:szCs w:val="21"/>
              </w:rPr>
            </w:pPr>
            <w:r>
              <w:rPr>
                <w:rFonts w:hint="default" w:ascii="Times New Roman" w:hAnsi="Times New Roman" w:eastAsia="仿宋" w:cs="Times New Roman"/>
                <w:snapToGrid w:val="0"/>
                <w:color w:val="auto"/>
                <w:sz w:val="21"/>
                <w:szCs w:val="21"/>
              </w:rPr>
              <w:t>0</w:t>
            </w:r>
          </w:p>
        </w:tc>
        <w:tc>
          <w:tcPr>
            <w:tcW w:w="3442" w:type="dxa"/>
            <w:vAlign w:val="center"/>
          </w:tcPr>
          <w:p>
            <w:pPr>
              <w:jc w:val="center"/>
              <w:rPr>
                <w:rFonts w:hint="default" w:ascii="Times New Roman" w:hAnsi="Times New Roman" w:eastAsia="仿宋" w:cs="Times New Roman"/>
                <w:snapToGrid w:val="0"/>
                <w:color w:val="auto"/>
                <w:sz w:val="21"/>
                <w:szCs w:val="21"/>
              </w:rPr>
            </w:pPr>
            <w:r>
              <w:rPr>
                <w:rFonts w:hint="default" w:ascii="Times New Roman" w:hAnsi="Times New Roman" w:eastAsia="仿宋" w:cs="Times New Roman"/>
                <w:snapToGrid w:val="0"/>
                <w:color w:val="auto"/>
                <w:sz w:val="21"/>
                <w:szCs w:val="21"/>
              </w:rPr>
              <w:t>不涉及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0" w:type="dxa"/>
            <w:vAlign w:val="center"/>
          </w:tcPr>
          <w:p>
            <w:pPr>
              <w:jc w:val="left"/>
              <w:rPr>
                <w:rFonts w:hint="default" w:ascii="Times New Roman" w:hAnsi="Times New Roman" w:eastAsia="仿宋" w:cs="Times New Roman"/>
                <w:snapToGrid w:val="0"/>
                <w:color w:val="auto"/>
                <w:sz w:val="21"/>
                <w:szCs w:val="21"/>
              </w:rPr>
            </w:pPr>
            <w:r>
              <w:rPr>
                <w:rFonts w:hint="default" w:ascii="Times New Roman" w:hAnsi="Times New Roman" w:eastAsia="仿宋" w:cs="Times New Roman"/>
                <w:snapToGrid w:val="0"/>
                <w:color w:val="auto"/>
                <w:sz w:val="21"/>
                <w:szCs w:val="21"/>
              </w:rPr>
              <w:t>不涉及以上危险工艺过程或国家规定的禁用工艺/设备</w:t>
            </w:r>
          </w:p>
        </w:tc>
        <w:tc>
          <w:tcPr>
            <w:tcW w:w="919" w:type="dxa"/>
            <w:vAlign w:val="center"/>
          </w:tcPr>
          <w:p>
            <w:pPr>
              <w:jc w:val="center"/>
              <w:rPr>
                <w:rFonts w:hint="default" w:ascii="Times New Roman" w:hAnsi="Times New Roman" w:eastAsia="仿宋" w:cs="Times New Roman"/>
                <w:snapToGrid w:val="0"/>
                <w:color w:val="auto"/>
                <w:sz w:val="21"/>
                <w:szCs w:val="21"/>
              </w:rPr>
            </w:pPr>
            <w:r>
              <w:rPr>
                <w:rFonts w:hint="default" w:ascii="Times New Roman" w:hAnsi="Times New Roman" w:eastAsia="仿宋" w:cs="Times New Roman"/>
                <w:snapToGrid w:val="0"/>
                <w:color w:val="auto"/>
                <w:sz w:val="21"/>
                <w:szCs w:val="21"/>
              </w:rPr>
              <w:t>0</w:t>
            </w:r>
          </w:p>
        </w:tc>
        <w:tc>
          <w:tcPr>
            <w:tcW w:w="956" w:type="dxa"/>
            <w:vAlign w:val="center"/>
          </w:tcPr>
          <w:p>
            <w:pPr>
              <w:jc w:val="center"/>
              <w:rPr>
                <w:rFonts w:hint="default" w:ascii="Times New Roman" w:hAnsi="Times New Roman" w:eastAsia="仿宋" w:cs="Times New Roman"/>
                <w:snapToGrid w:val="0"/>
                <w:color w:val="auto"/>
                <w:sz w:val="21"/>
                <w:szCs w:val="21"/>
              </w:rPr>
            </w:pPr>
            <w:r>
              <w:rPr>
                <w:rFonts w:hint="default" w:ascii="Times New Roman" w:hAnsi="Times New Roman" w:eastAsia="仿宋" w:cs="Times New Roman"/>
                <w:snapToGrid w:val="0"/>
                <w:color w:val="auto"/>
                <w:sz w:val="21"/>
                <w:szCs w:val="21"/>
              </w:rPr>
              <w:t>0</w:t>
            </w:r>
          </w:p>
        </w:tc>
        <w:tc>
          <w:tcPr>
            <w:tcW w:w="3442" w:type="dxa"/>
            <w:vAlign w:val="center"/>
          </w:tcPr>
          <w:p>
            <w:pPr>
              <w:jc w:val="center"/>
              <w:rPr>
                <w:rFonts w:hint="default" w:ascii="Times New Roman" w:hAnsi="Times New Roman" w:eastAsia="仿宋" w:cs="Times New Roman"/>
                <w:snapToGrid w:val="0"/>
                <w:color w:val="auto"/>
                <w:sz w:val="21"/>
                <w:szCs w:val="21"/>
              </w:rPr>
            </w:pPr>
            <w:r>
              <w:rPr>
                <w:rFonts w:hint="default" w:ascii="Times New Roman" w:hAnsi="Times New Roman" w:eastAsia="仿宋" w:cs="Times New Roman"/>
                <w:snapToGrid w:val="0"/>
                <w:color w:val="auto"/>
                <w:sz w:val="21"/>
                <w:szCs w:val="21"/>
              </w:rPr>
              <w:t>不涉及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947" w:type="dxa"/>
            <w:gridSpan w:val="4"/>
            <w:vAlign w:val="center"/>
          </w:tcPr>
          <w:p>
            <w:pPr>
              <w:widowControl w:val="0"/>
              <w:wordWrap/>
              <w:adjustRightInd/>
              <w:snapToGrid/>
              <w:jc w:val="left"/>
              <w:textAlignment w:val="auto"/>
              <w:rPr>
                <w:rFonts w:eastAsia="仿宋"/>
                <w:snapToGrid w:val="0"/>
                <w:color w:val="auto"/>
                <w:sz w:val="18"/>
                <w:szCs w:val="18"/>
              </w:rPr>
            </w:pPr>
            <w:r>
              <w:rPr>
                <w:rFonts w:hint="default" w:ascii="Times New Roman" w:hAnsi="Times New Roman" w:eastAsia="仿宋" w:cs="Times New Roman"/>
                <w:snapToGrid w:val="0"/>
                <w:color w:val="auto"/>
                <w:sz w:val="18"/>
                <w:szCs w:val="18"/>
              </w:rPr>
              <w:t>注：a高温指工艺温度≥300</w:t>
            </w:r>
            <w:r>
              <w:rPr>
                <w:rFonts w:hint="default" w:ascii="Times New Roman" w:hAnsi="Times New Roman" w:cs="Times New Roman"/>
                <w:snapToGrid w:val="0"/>
                <w:color w:val="auto"/>
                <w:sz w:val="18"/>
                <w:szCs w:val="18"/>
              </w:rPr>
              <w:t>℃</w:t>
            </w:r>
            <w:r>
              <w:rPr>
                <w:rFonts w:hint="default" w:ascii="Times New Roman" w:hAnsi="Times New Roman" w:eastAsia="仿宋" w:cs="Times New Roman"/>
                <w:snapToGrid w:val="0"/>
                <w:color w:val="auto"/>
                <w:sz w:val="18"/>
                <w:szCs w:val="18"/>
              </w:rPr>
              <w:t>，高压指压力容器的设计压力（p）≥10.0MPa，易燃易爆等物质是指按照GB30000.2至GB30000.13所确定的化学物质；b指《产业结构调整指导目录》中有淘汰期限的淘汰类落后生产工艺装备</w:t>
            </w:r>
          </w:p>
        </w:tc>
      </w:tr>
    </w:tbl>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根据上表，企业生产工艺最高分值为</w:t>
      </w:r>
      <w:r>
        <w:rPr>
          <w:rFonts w:hint="eastAsia" w:ascii="Times New Roman" w:hAnsi="Times New Roman" w:eastAsia="仿宋" w:cs="Times New Roman"/>
          <w:color w:val="auto"/>
          <w:sz w:val="28"/>
          <w:szCs w:val="28"/>
          <w:lang w:val="en-US" w:eastAsia="zh-CN"/>
        </w:rPr>
        <w:t>0</w:t>
      </w:r>
      <w:r>
        <w:rPr>
          <w:rFonts w:hint="default" w:ascii="Times New Roman" w:hAnsi="Times New Roman" w:eastAsia="仿宋" w:cs="Times New Roman"/>
          <w:color w:val="auto"/>
          <w:sz w:val="28"/>
          <w:szCs w:val="28"/>
        </w:rPr>
        <w:t>分。</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（2）大气环境风险防控措施及突发大气环境事件发生情况</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根据《企业突发环境事件风险分级方法》，企业大气环境风险防控措施及突发大气环境事件发生情况评估指标见表</w:t>
      </w:r>
      <w:r>
        <w:rPr>
          <w:rFonts w:hint="eastAsia" w:ascii="Times New Roman" w:hAnsi="Times New Roman" w:eastAsia="仿宋" w:cs="Times New Roman"/>
          <w:color w:val="auto"/>
          <w:sz w:val="28"/>
          <w:szCs w:val="28"/>
          <w:lang w:val="en-US" w:eastAsia="zh-CN"/>
        </w:rPr>
        <w:t>6</w:t>
      </w:r>
      <w:r>
        <w:rPr>
          <w:rFonts w:hint="default" w:ascii="Times New Roman" w:hAnsi="Times New Roman" w:eastAsia="仿宋" w:cs="Times New Roman"/>
          <w:color w:val="auto"/>
          <w:sz w:val="28"/>
          <w:szCs w:val="28"/>
        </w:rPr>
        <w:t>.</w:t>
      </w:r>
      <w:r>
        <w:rPr>
          <w:rFonts w:hint="eastAsia"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rPr>
        <w:t>-3。对各项评估指标分别评分、计算总和，各项指标分值合计最高为70分。</w:t>
      </w:r>
    </w:p>
    <w:p>
      <w:pPr>
        <w:widowControl w:val="0"/>
        <w:wordWrap/>
        <w:adjustRightInd/>
        <w:snapToGrid w:val="0"/>
        <w:spacing w:beforeLines="50" w:line="240" w:lineRule="auto"/>
        <w:ind w:firstLine="482"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bCs/>
          <w:color w:val="auto"/>
          <w:sz w:val="24"/>
          <w:szCs w:val="24"/>
        </w:rPr>
        <w:t>表6.2-</w:t>
      </w:r>
      <w:r>
        <w:rPr>
          <w:rFonts w:hint="eastAsia" w:ascii="Times New Roman" w:hAnsi="Times New Roman" w:eastAsia="仿宋" w:cs="Times New Roman"/>
          <w:b/>
          <w:bCs/>
          <w:color w:val="auto"/>
          <w:sz w:val="24"/>
          <w:szCs w:val="24"/>
          <w:lang w:val="en-US" w:eastAsia="zh-CN"/>
        </w:rPr>
        <w:t>3</w:t>
      </w:r>
      <w:r>
        <w:rPr>
          <w:rFonts w:hint="default" w:ascii="Times New Roman" w:hAnsi="Times New Roman" w:eastAsia="仿宋" w:cs="Times New Roman"/>
          <w:b/>
          <w:bCs/>
          <w:color w:val="auto"/>
          <w:sz w:val="24"/>
          <w:szCs w:val="24"/>
        </w:rPr>
        <w:t>企业大气环境风险防控措施与突发大气环境事件发生情况评估</w:t>
      </w:r>
    </w:p>
    <w:tbl>
      <w:tblPr>
        <w:tblStyle w:val="21"/>
        <w:tblW w:w="894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42"/>
        <w:gridCol w:w="4677"/>
        <w:gridCol w:w="852"/>
        <w:gridCol w:w="709"/>
        <w:gridCol w:w="146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242" w:type="dxa"/>
            <w:vAlign w:val="center"/>
          </w:tcPr>
          <w:p>
            <w:pPr>
              <w:pStyle w:val="39"/>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评估指标</w:t>
            </w:r>
          </w:p>
        </w:tc>
        <w:tc>
          <w:tcPr>
            <w:tcW w:w="4677" w:type="dxa"/>
            <w:vAlign w:val="center"/>
          </w:tcPr>
          <w:p>
            <w:pPr>
              <w:pStyle w:val="39"/>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评估依据</w:t>
            </w:r>
          </w:p>
        </w:tc>
        <w:tc>
          <w:tcPr>
            <w:tcW w:w="852" w:type="dxa"/>
            <w:vAlign w:val="center"/>
          </w:tcPr>
          <w:p>
            <w:pPr>
              <w:pStyle w:val="39"/>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分值</w:t>
            </w:r>
          </w:p>
        </w:tc>
        <w:tc>
          <w:tcPr>
            <w:tcW w:w="709" w:type="dxa"/>
            <w:vAlign w:val="center"/>
          </w:tcPr>
          <w:p>
            <w:pPr>
              <w:pStyle w:val="39"/>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企业得分</w:t>
            </w:r>
          </w:p>
        </w:tc>
        <w:tc>
          <w:tcPr>
            <w:tcW w:w="1467" w:type="dxa"/>
            <w:vAlign w:val="center"/>
          </w:tcPr>
          <w:p>
            <w:pPr>
              <w:pStyle w:val="39"/>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restart"/>
            <w:vAlign w:val="center"/>
          </w:tcPr>
          <w:p>
            <w:pPr>
              <w:autoSpaceDE w:val="0"/>
              <w:autoSpaceDN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毒性气体泄漏监控预警措施</w:t>
            </w:r>
          </w:p>
        </w:tc>
        <w:tc>
          <w:tcPr>
            <w:tcW w:w="4677"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（1）不涉及附录A中有毒有害气体的；或</w:t>
            </w:r>
          </w:p>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（2）根据实际情况，具备有毒有害气体（如硫化氢、氰化氢、氯化氢、光气、氯</w:t>
            </w:r>
          </w:p>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气、氨气、苯等）厂界泄漏监控预警系统的</w:t>
            </w:r>
          </w:p>
        </w:tc>
        <w:tc>
          <w:tcPr>
            <w:tcW w:w="852"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709"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0</w:t>
            </w:r>
          </w:p>
        </w:tc>
        <w:tc>
          <w:tcPr>
            <w:tcW w:w="1467" w:type="dxa"/>
            <w:vMerge w:val="restart"/>
            <w:vAlign w:val="center"/>
          </w:tcPr>
          <w:p>
            <w:pPr>
              <w:pStyle w:val="39"/>
              <w:spacing w:line="240" w:lineRule="auto"/>
              <w:ind w:firstLine="0" w:firstLineChars="0"/>
              <w:jc w:val="both"/>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不涉及附录A中的有毒有害气体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4677"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不具备厂界有毒有害气体泄漏监控预警系统的</w:t>
            </w:r>
          </w:p>
        </w:tc>
        <w:tc>
          <w:tcPr>
            <w:tcW w:w="852"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25</w:t>
            </w:r>
          </w:p>
        </w:tc>
        <w:tc>
          <w:tcPr>
            <w:tcW w:w="709"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1467"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restart"/>
            <w:vAlign w:val="center"/>
          </w:tcPr>
          <w:p>
            <w:pPr>
              <w:autoSpaceDE w:val="0"/>
              <w:autoSpaceDN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符合防护距离情况</w:t>
            </w:r>
          </w:p>
        </w:tc>
        <w:tc>
          <w:tcPr>
            <w:tcW w:w="4677"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符合环评及批复文件防护距离要求的</w:t>
            </w:r>
          </w:p>
        </w:tc>
        <w:tc>
          <w:tcPr>
            <w:tcW w:w="852"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709"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1467"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符合环评及批复防护距离要求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4677"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不符合环评及批复文件防护距离要求的</w:t>
            </w:r>
          </w:p>
        </w:tc>
        <w:tc>
          <w:tcPr>
            <w:tcW w:w="852"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25</w:t>
            </w:r>
          </w:p>
        </w:tc>
        <w:tc>
          <w:tcPr>
            <w:tcW w:w="709"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1467"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restart"/>
            <w:vAlign w:val="center"/>
          </w:tcPr>
          <w:p>
            <w:pPr>
              <w:autoSpaceDE w:val="0"/>
              <w:autoSpaceDN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近3年内突发大气环境事件发生情况</w:t>
            </w:r>
          </w:p>
        </w:tc>
        <w:tc>
          <w:tcPr>
            <w:tcW w:w="4677"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发生过特别重大或重大等级突发大气环境事件的</w:t>
            </w:r>
          </w:p>
        </w:tc>
        <w:tc>
          <w:tcPr>
            <w:tcW w:w="852"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w:t>
            </w:r>
          </w:p>
        </w:tc>
        <w:tc>
          <w:tcPr>
            <w:tcW w:w="709"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1467"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未发生突发大气环境事件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4677"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发生过较大等级突发大气环境事件的</w:t>
            </w:r>
          </w:p>
        </w:tc>
        <w:tc>
          <w:tcPr>
            <w:tcW w:w="852"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w:t>
            </w:r>
          </w:p>
        </w:tc>
        <w:tc>
          <w:tcPr>
            <w:tcW w:w="709"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1467"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4677"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发生过一般等级突发大气环境事件</w:t>
            </w:r>
          </w:p>
        </w:tc>
        <w:tc>
          <w:tcPr>
            <w:tcW w:w="852"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c>
          <w:tcPr>
            <w:tcW w:w="709"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1467"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4677"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未发生突发大气环境事件</w:t>
            </w:r>
          </w:p>
        </w:tc>
        <w:tc>
          <w:tcPr>
            <w:tcW w:w="852"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709"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1467"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r>
    </w:tbl>
    <w:p>
      <w:pPr>
        <w:snapToGrid w:val="0"/>
        <w:spacing w:line="240" w:lineRule="auto"/>
        <w:ind w:firstLine="560" w:firstLineChars="200"/>
        <w:rPr>
          <w:rFonts w:hint="default"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lang w:eastAsia="zh-CN"/>
        </w:rPr>
        <w:t>江苏超力建材科技有限公司</w:t>
      </w:r>
      <w:r>
        <w:rPr>
          <w:rFonts w:hint="default" w:ascii="Times New Roman" w:hAnsi="Times New Roman" w:eastAsia="仿宋" w:cs="Times New Roman"/>
          <w:color w:val="auto"/>
          <w:sz w:val="28"/>
          <w:szCs w:val="28"/>
        </w:rPr>
        <w:t>大气环境风险防控措施及突发大气环境事件发生情况评估得分为</w:t>
      </w:r>
      <w:r>
        <w:rPr>
          <w:rFonts w:hint="eastAsia" w:ascii="Times New Roman" w:hAnsi="Times New Roman" w:eastAsia="仿宋" w:cs="Times New Roman"/>
          <w:color w:val="auto"/>
          <w:sz w:val="28"/>
          <w:szCs w:val="28"/>
          <w:lang w:val="en-US" w:eastAsia="zh-CN"/>
        </w:rPr>
        <w:t>0</w:t>
      </w:r>
      <w:r>
        <w:rPr>
          <w:rFonts w:hint="default" w:ascii="Times New Roman" w:hAnsi="Times New Roman" w:eastAsia="仿宋" w:cs="Times New Roman"/>
          <w:color w:val="auto"/>
          <w:sz w:val="28"/>
          <w:szCs w:val="28"/>
        </w:rPr>
        <w:t>分。</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（3）企业生产工艺过程与大气环境风险控制水平（M）</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将企业生产工艺过程、大气环境风险防控措施及突发大气环境事件发生情况各项指标评估分值累加，得出生产工艺过程与大气环境风险控制水平值，按照表6.2-4划分为4个类型。</w:t>
      </w:r>
    </w:p>
    <w:p>
      <w:pPr>
        <w:spacing w:line="360" w:lineRule="auto"/>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 xml:space="preserve">表6.2-4 </w:t>
      </w:r>
      <w:r>
        <w:rPr>
          <w:rFonts w:hint="eastAsia" w:ascii="Times New Roman" w:hAnsi="Times New Roman" w:eastAsia="仿宋" w:cs="Times New Roman"/>
          <w:b/>
          <w:bCs/>
          <w:color w:val="auto"/>
          <w:sz w:val="24"/>
          <w:szCs w:val="24"/>
          <w:lang w:val="en-US" w:eastAsia="zh-CN"/>
        </w:rPr>
        <w:t xml:space="preserve"> </w:t>
      </w:r>
      <w:r>
        <w:rPr>
          <w:rFonts w:hint="default" w:ascii="Times New Roman" w:hAnsi="Times New Roman" w:eastAsia="仿宋" w:cs="Times New Roman"/>
          <w:b/>
          <w:bCs/>
          <w:color w:val="auto"/>
          <w:sz w:val="24"/>
          <w:szCs w:val="24"/>
        </w:rPr>
        <w:t>企业生产工艺过程与环境风险控制水平类型划分</w:t>
      </w:r>
    </w:p>
    <w:tbl>
      <w:tblPr>
        <w:tblStyle w:val="21"/>
        <w:tblW w:w="852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2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生产工艺过程与环境风险控制水平值</w:t>
            </w:r>
          </w:p>
        </w:tc>
        <w:tc>
          <w:tcPr>
            <w:tcW w:w="4264"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生产工艺过程与环境风险控制水平类型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 ＜ 25</w:t>
            </w:r>
          </w:p>
        </w:tc>
        <w:tc>
          <w:tcPr>
            <w:tcW w:w="4264"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25 ≤M＜ 45</w:t>
            </w:r>
          </w:p>
        </w:tc>
        <w:tc>
          <w:tcPr>
            <w:tcW w:w="4264"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45≤M ＜ 65</w:t>
            </w:r>
          </w:p>
        </w:tc>
        <w:tc>
          <w:tcPr>
            <w:tcW w:w="4264"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 65</w:t>
            </w:r>
          </w:p>
        </w:tc>
        <w:tc>
          <w:tcPr>
            <w:tcW w:w="4264"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M4</w:t>
            </w:r>
          </w:p>
        </w:tc>
      </w:tr>
    </w:tbl>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rPr>
        <w:t>由上述分析可知，</w:t>
      </w:r>
      <w:r>
        <w:rPr>
          <w:rFonts w:hint="eastAsia" w:ascii="Times New Roman" w:hAnsi="Times New Roman" w:eastAsia="仿宋" w:cs="Times New Roman"/>
          <w:color w:val="auto"/>
          <w:sz w:val="28"/>
          <w:szCs w:val="28"/>
          <w:lang w:eastAsia="zh-CN"/>
        </w:rPr>
        <w:t>江苏超力建材科技有限公司</w:t>
      </w:r>
      <w:r>
        <w:rPr>
          <w:rFonts w:hint="default" w:ascii="Times New Roman" w:hAnsi="Times New Roman" w:eastAsia="仿宋" w:cs="Times New Roman"/>
          <w:color w:val="auto"/>
          <w:sz w:val="28"/>
          <w:szCs w:val="28"/>
        </w:rPr>
        <w:t>生产工艺过程与大气环境风险控制水平M值得分为</w:t>
      </w:r>
      <w:r>
        <w:rPr>
          <w:rFonts w:hint="eastAsia" w:ascii="Times New Roman" w:hAnsi="Times New Roman" w:eastAsia="仿宋" w:cs="Times New Roman"/>
          <w:color w:val="auto"/>
          <w:sz w:val="28"/>
          <w:szCs w:val="28"/>
          <w:lang w:val="en-US" w:eastAsia="zh-CN"/>
        </w:rPr>
        <w:t>0</w:t>
      </w:r>
      <w:r>
        <w:rPr>
          <w:rFonts w:hint="default" w:ascii="Times New Roman" w:hAnsi="Times New Roman" w:eastAsia="仿宋" w:cs="Times New Roman"/>
          <w:color w:val="auto"/>
          <w:sz w:val="28"/>
          <w:szCs w:val="28"/>
        </w:rPr>
        <w:t>，生产工艺过程与环境风险控制水平类型为M</w:t>
      </w:r>
      <w:r>
        <w:rPr>
          <w:rFonts w:hint="eastAsia"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val="en-US" w:eastAsia="zh-CN"/>
        </w:rPr>
        <w:t>。</w:t>
      </w:r>
    </w:p>
    <w:p>
      <w:pPr>
        <w:pStyle w:val="8"/>
        <w:spacing w:beforeLines="50" w:afterLines="50" w:line="500" w:lineRule="exact"/>
        <w:ind w:firstLine="0" w:firstLineChars="0"/>
        <w:outlineLvl w:val="2"/>
        <w:rPr>
          <w:rFonts w:hint="default" w:ascii="Times New Roman" w:eastAsia="仿宋"/>
          <w:b/>
          <w:color w:val="auto"/>
          <w:szCs w:val="28"/>
        </w:rPr>
      </w:pPr>
      <w:bookmarkStart w:id="105" w:name="_Toc3064"/>
      <w:r>
        <w:rPr>
          <w:rFonts w:hint="default" w:ascii="Times New Roman" w:eastAsia="仿宋"/>
          <w:b/>
          <w:color w:val="auto"/>
          <w:szCs w:val="28"/>
        </w:rPr>
        <w:t>6.2.3 大气环境风险受体敏感程度（E）</w:t>
      </w:r>
      <w:bookmarkEnd w:id="105"/>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根据《企业突发环境事件风险分级方法》，大气环境风险受体敏感程度类型按照企业周边人口数进行划分。按照企业周边5公里或500 米范围内人口数将大气环境风险受体敏感程度划分为类型1、类型2 和类型3 三种类型，分别以E1、E2 和E3 表示，见表7.1-5。</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大气环境风险受体敏感程度按类型1、类型2 和类型3 顺序依次降低。若企业周边存在多种敏感程度类型的大气环境风险受体，则按敏感程度高者确定企业大气环境风险受体敏感程度类型。</w:t>
      </w:r>
    </w:p>
    <w:p>
      <w:pPr>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表6.2-5大气环境风险受体敏感程度类型划分</w:t>
      </w:r>
    </w:p>
    <w:p>
      <w:pPr>
        <w:pStyle w:val="2"/>
        <w:rPr>
          <w:rFonts w:hint="default" w:ascii="Times New Roman" w:hAnsi="Times New Roman" w:eastAsia="仿宋" w:cs="Times New Roman"/>
          <w:b/>
          <w:bCs/>
          <w:color w:val="auto"/>
          <w:sz w:val="24"/>
          <w:szCs w:val="24"/>
        </w:rPr>
      </w:pPr>
    </w:p>
    <w:tbl>
      <w:tblPr>
        <w:tblStyle w:val="21"/>
        <w:tblW w:w="89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53"/>
        <w:gridCol w:w="5741"/>
        <w:gridCol w:w="19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5" w:hRule="atLeast"/>
          <w:tblHeader/>
        </w:trPr>
        <w:tc>
          <w:tcPr>
            <w:tcW w:w="1253" w:type="dxa"/>
            <w:tcBorders>
              <w:bottom w:val="single" w:color="auto" w:sz="6" w:space="0"/>
            </w:tcBorders>
            <w:vAlign w:val="center"/>
          </w:tcPr>
          <w:p>
            <w:pPr>
              <w:pStyle w:val="39"/>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敏感程</w:t>
            </w:r>
          </w:p>
          <w:p>
            <w:pPr>
              <w:pStyle w:val="39"/>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度类型</w:t>
            </w:r>
          </w:p>
        </w:tc>
        <w:tc>
          <w:tcPr>
            <w:tcW w:w="5741" w:type="dxa"/>
            <w:tcBorders>
              <w:bottom w:val="single" w:color="auto" w:sz="6" w:space="0"/>
            </w:tcBorders>
            <w:vAlign w:val="center"/>
          </w:tcPr>
          <w:p>
            <w:pPr>
              <w:pStyle w:val="39"/>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大气环境风险受体</w:t>
            </w:r>
          </w:p>
        </w:tc>
        <w:tc>
          <w:tcPr>
            <w:tcW w:w="1953" w:type="dxa"/>
            <w:tcBorders>
              <w:bottom w:val="single" w:color="auto" w:sz="6" w:space="0"/>
            </w:tcBorders>
            <w:vAlign w:val="center"/>
          </w:tcPr>
          <w:p>
            <w:pPr>
              <w:pStyle w:val="39"/>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53" w:type="dxa"/>
            <w:vAlign w:val="center"/>
          </w:tcPr>
          <w:p>
            <w:pPr>
              <w:pStyle w:val="39"/>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类型1（E1）</w:t>
            </w:r>
          </w:p>
        </w:tc>
        <w:tc>
          <w:tcPr>
            <w:tcW w:w="5741" w:type="dxa"/>
            <w:vAlign w:val="center"/>
          </w:tcPr>
          <w:p>
            <w:pPr>
              <w:pStyle w:val="39"/>
              <w:spacing w:line="240" w:lineRule="auto"/>
              <w:ind w:firstLine="0" w:firstLineChars="0"/>
              <w:jc w:val="both"/>
              <w:rPr>
                <w:rFonts w:hint="eastAsia" w:ascii="Times New Roman" w:hAnsi="Times New Roman" w:eastAsia="仿宋" w:cs="Times New Roman"/>
                <w:bCs/>
                <w:color w:val="auto"/>
                <w:sz w:val="21"/>
                <w:szCs w:val="21"/>
                <w:lang w:eastAsia="zh-CN"/>
              </w:rPr>
            </w:pPr>
            <w:r>
              <w:rPr>
                <w:rFonts w:hint="default" w:ascii="Times New Roman" w:hAnsi="Times New Roman" w:eastAsia="仿宋" w:cs="Times New Roman"/>
                <w:bCs/>
                <w:color w:val="auto"/>
                <w:sz w:val="21"/>
                <w:szCs w:val="21"/>
              </w:rPr>
              <w:t>企业周边5公里范围内居住区、医疗卫生机构、文化教育机构、科研单位、行政机关、企事业单位、商场、公园等人口总数5万人以上，或企业周边500米范围内人口总数1000人以上，或企业周边5公里涉及军事禁区、军事管理区、国家相关保密区域</w:t>
            </w:r>
          </w:p>
        </w:tc>
        <w:tc>
          <w:tcPr>
            <w:tcW w:w="1953" w:type="dxa"/>
            <w:vAlign w:val="center"/>
          </w:tcPr>
          <w:p>
            <w:pPr>
              <w:pStyle w:val="39"/>
              <w:spacing w:line="240" w:lineRule="auto"/>
              <w:ind w:firstLine="0" w:firstLineChars="0"/>
              <w:jc w:val="center"/>
              <w:rPr>
                <w:rFonts w:hint="eastAsia" w:ascii="Times New Roman" w:hAnsi="Times New Roman" w:eastAsia="仿宋" w:cs="Times New Roman"/>
                <w:bCs/>
                <w:color w:val="auto"/>
                <w:sz w:val="21"/>
                <w:szCs w:val="21"/>
                <w:lang w:val="en-US" w:eastAsia="zh-CN"/>
              </w:rPr>
            </w:pPr>
            <w:r>
              <w:rPr>
                <w:rFonts w:hint="eastAsia" w:ascii="Times New Roman" w:hAnsi="Times New Roman" w:eastAsia="仿宋" w:cs="Times New Roman"/>
                <w:bCs/>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53" w:type="dxa"/>
            <w:vAlign w:val="center"/>
          </w:tcPr>
          <w:p>
            <w:pPr>
              <w:pStyle w:val="39"/>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类型2（E2）</w:t>
            </w:r>
          </w:p>
        </w:tc>
        <w:tc>
          <w:tcPr>
            <w:tcW w:w="5741" w:type="dxa"/>
            <w:vAlign w:val="center"/>
          </w:tcPr>
          <w:p>
            <w:pPr>
              <w:pStyle w:val="39"/>
              <w:spacing w:line="240" w:lineRule="auto"/>
              <w:ind w:firstLine="0" w:firstLineChars="0"/>
              <w:jc w:val="both"/>
              <w:rPr>
                <w:rFonts w:hint="eastAsia" w:ascii="Times New Roman" w:hAnsi="Times New Roman" w:eastAsia="仿宋" w:cs="Times New Roman"/>
                <w:bCs/>
                <w:color w:val="auto"/>
                <w:sz w:val="21"/>
                <w:szCs w:val="21"/>
                <w:lang w:eastAsia="zh-CN"/>
              </w:rPr>
            </w:pPr>
            <w:r>
              <w:rPr>
                <w:rFonts w:hint="default" w:ascii="Times New Roman" w:hAnsi="Times New Roman" w:eastAsia="仿宋" w:cs="Times New Roman"/>
                <w:bCs/>
                <w:color w:val="auto"/>
                <w:sz w:val="21"/>
                <w:szCs w:val="21"/>
              </w:rPr>
              <w:t>企业周边5公里范围内居住区、医疗卫生机构、文化教育机构、科研单位、行政机关、企事业单位、商场、公园等人口总数1万人以上、5万人以下，或企业周边500米范围内人口总数500人以上、1000人以下</w:t>
            </w:r>
          </w:p>
        </w:tc>
        <w:tc>
          <w:tcPr>
            <w:tcW w:w="1953" w:type="dxa"/>
            <w:vAlign w:val="center"/>
          </w:tcPr>
          <w:p>
            <w:pPr>
              <w:pStyle w:val="39"/>
              <w:spacing w:line="240" w:lineRule="auto"/>
              <w:ind w:firstLine="0" w:firstLineChars="0"/>
              <w:jc w:val="both"/>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企业周边5公里范围内居住区、医疗卫生机构、文化教育机构、科研单位、行政机关、企事业单位、商场、公园等人口总数1万人以上、5万人以下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53" w:type="dxa"/>
            <w:vAlign w:val="center"/>
          </w:tcPr>
          <w:p>
            <w:pPr>
              <w:pStyle w:val="39"/>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类型3（E3）</w:t>
            </w:r>
          </w:p>
        </w:tc>
        <w:tc>
          <w:tcPr>
            <w:tcW w:w="5741" w:type="dxa"/>
            <w:vAlign w:val="center"/>
          </w:tcPr>
          <w:p>
            <w:pPr>
              <w:pStyle w:val="39"/>
              <w:spacing w:line="240" w:lineRule="auto"/>
              <w:ind w:firstLine="0" w:firstLineChars="0"/>
              <w:jc w:val="both"/>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企业周边5公里范围内居住区、医疗卫生机构、文化教育机构、科研单位、行政机关、企事业单位、商场、公园等人口总数1万人以下，且企业周边500米范围内人口总数500人以下</w:t>
            </w:r>
          </w:p>
        </w:tc>
        <w:tc>
          <w:tcPr>
            <w:tcW w:w="1953" w:type="dxa"/>
            <w:vAlign w:val="center"/>
          </w:tcPr>
          <w:p>
            <w:pPr>
              <w:pStyle w:val="39"/>
              <w:spacing w:line="240" w:lineRule="auto"/>
              <w:ind w:firstLine="0" w:firstLineChars="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w:t>
            </w:r>
          </w:p>
        </w:tc>
      </w:tr>
    </w:tbl>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rPr>
        <w:t>根据对江苏超力建材科技有限公司周边人口分布情况的调查，最终确定大气环境风险受体敏感程度为类型</w:t>
      </w:r>
      <w:r>
        <w:rPr>
          <w:rFonts w:hint="eastAsia"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rPr>
        <w:t>（E</w:t>
      </w:r>
      <w:r>
        <w:rPr>
          <w:rFonts w:hint="eastAsia"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rPr>
        <w:t>）。</w:t>
      </w:r>
    </w:p>
    <w:p>
      <w:pPr>
        <w:pStyle w:val="8"/>
        <w:spacing w:beforeLines="50" w:afterLines="50" w:line="500" w:lineRule="exact"/>
        <w:ind w:firstLine="0" w:firstLineChars="0"/>
        <w:outlineLvl w:val="2"/>
        <w:rPr>
          <w:rFonts w:hint="default" w:ascii="Times New Roman" w:eastAsia="仿宋"/>
          <w:b/>
          <w:color w:val="auto"/>
          <w:szCs w:val="28"/>
        </w:rPr>
      </w:pPr>
      <w:bookmarkStart w:id="106" w:name="_Toc25263"/>
      <w:r>
        <w:rPr>
          <w:rFonts w:hint="default" w:ascii="Times New Roman" w:eastAsia="仿宋"/>
          <w:b/>
          <w:color w:val="auto"/>
          <w:szCs w:val="28"/>
        </w:rPr>
        <w:t>6.2.4突发大气环境事件风险等级确定</w:t>
      </w:r>
      <w:bookmarkEnd w:id="106"/>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根据涉气风险物质数量与临界量比值（Q）、生产工艺过程与大气环境风险控制水平（M）和企业周边大气环境风险受体敏感程度（E）、按照表7.1-5确定企业突发大气环境事件风险等级。</w:t>
      </w:r>
    </w:p>
    <w:p>
      <w:pPr>
        <w:snapToGrid w:val="0"/>
        <w:spacing w:line="240" w:lineRule="auto"/>
        <w:ind w:firstLine="560" w:firstLineChars="200"/>
        <w:rPr>
          <w:rFonts w:hint="default" w:ascii="Times New Roman" w:hAnsi="Times New Roman" w:cs="Times New Roman"/>
          <w:bCs/>
          <w:color w:val="auto"/>
          <w:highlight w:val="none"/>
        </w:rPr>
      </w:pPr>
      <w:r>
        <w:rPr>
          <w:rFonts w:hint="default" w:ascii="Times New Roman" w:hAnsi="Times New Roman" w:eastAsia="仿宋" w:cs="Times New Roman"/>
          <w:color w:val="auto"/>
          <w:sz w:val="28"/>
          <w:szCs w:val="28"/>
        </w:rPr>
        <w:t>根据调查分析，企业环境风险物质最大存在总量与临界量比值</w:t>
      </w:r>
      <w:r>
        <w:rPr>
          <w:rFonts w:hint="default" w:ascii="Times New Roman" w:hAnsi="Times New Roman" w:eastAsia="仿宋" w:cs="Times New Roman"/>
          <w:color w:val="auto"/>
          <w:sz w:val="28"/>
          <w:szCs w:val="28"/>
          <w:highlight w:val="none"/>
        </w:rPr>
        <w:t>Q=1.065（Q</w:t>
      </w:r>
      <w:r>
        <w:rPr>
          <w:rFonts w:hint="eastAsia" w:ascii="Times New Roman" w:hAnsi="Times New Roman" w:eastAsia="仿宋" w:cs="Times New Roman"/>
          <w:color w:val="auto"/>
          <w:sz w:val="28"/>
          <w:szCs w:val="28"/>
          <w:highlight w:val="none"/>
          <w:lang w:val="en-US" w:eastAsia="zh-CN"/>
        </w:rPr>
        <w:t>1</w:t>
      </w:r>
      <w:r>
        <w:rPr>
          <w:rFonts w:hint="default" w:ascii="Times New Roman" w:hAnsi="Times New Roman" w:eastAsia="仿宋" w:cs="Times New Roman"/>
          <w:color w:val="auto"/>
          <w:sz w:val="28"/>
          <w:szCs w:val="28"/>
          <w:highlight w:val="none"/>
        </w:rPr>
        <w:t>）。</w:t>
      </w:r>
    </w:p>
    <w:p>
      <w:pPr>
        <w:spacing w:line="360" w:lineRule="auto"/>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 xml:space="preserve">表6.2-6 </w:t>
      </w:r>
      <w:r>
        <w:rPr>
          <w:rFonts w:hint="eastAsia" w:ascii="Times New Roman" w:hAnsi="Times New Roman" w:eastAsia="仿宋" w:cs="Times New Roman"/>
          <w:b/>
          <w:bCs/>
          <w:color w:val="auto"/>
          <w:sz w:val="24"/>
          <w:szCs w:val="24"/>
          <w:lang w:val="en-US" w:eastAsia="zh-CN"/>
        </w:rPr>
        <w:t xml:space="preserve"> </w:t>
      </w:r>
      <w:r>
        <w:rPr>
          <w:rFonts w:hint="default" w:ascii="Times New Roman" w:hAnsi="Times New Roman" w:eastAsia="仿宋" w:cs="Times New Roman"/>
          <w:b/>
          <w:bCs/>
          <w:color w:val="auto"/>
          <w:sz w:val="24"/>
          <w:szCs w:val="24"/>
        </w:rPr>
        <w:t>企业突发环境事件风险分级矩阵表</w:t>
      </w:r>
    </w:p>
    <w:tbl>
      <w:tblPr>
        <w:tblStyle w:val="21"/>
        <w:tblW w:w="875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2268"/>
        <w:gridCol w:w="1276"/>
        <w:gridCol w:w="1276"/>
        <w:gridCol w:w="1276"/>
        <w:gridCol w:w="12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83" w:type="dxa"/>
            <w:vMerge w:val="restart"/>
            <w:vAlign w:val="center"/>
          </w:tcPr>
          <w:p>
            <w:pPr>
              <w:jc w:val="center"/>
              <w:rPr>
                <w:rFonts w:hint="default" w:ascii="Times New Roman" w:hAnsi="Times New Roman" w:eastAsia="仿宋" w:cs="Times New Roman"/>
                <w:b/>
                <w:bCs w:val="0"/>
                <w:color w:val="auto"/>
                <w:sz w:val="21"/>
                <w:szCs w:val="21"/>
              </w:rPr>
            </w:pPr>
            <w:r>
              <w:rPr>
                <w:rFonts w:hint="default" w:ascii="Times New Roman" w:hAnsi="Times New Roman" w:eastAsia="仿宋" w:cs="Times New Roman"/>
                <w:b/>
                <w:bCs w:val="0"/>
                <w:color w:val="auto"/>
                <w:sz w:val="21"/>
                <w:szCs w:val="21"/>
              </w:rPr>
              <w:t>环境风险受体敏感程度（E）</w:t>
            </w:r>
          </w:p>
        </w:tc>
        <w:tc>
          <w:tcPr>
            <w:tcW w:w="2268" w:type="dxa"/>
            <w:vMerge w:val="restart"/>
            <w:vAlign w:val="center"/>
          </w:tcPr>
          <w:p>
            <w:pPr>
              <w:jc w:val="center"/>
              <w:rPr>
                <w:rFonts w:hint="default" w:ascii="Times New Roman" w:hAnsi="Times New Roman" w:eastAsia="仿宋" w:cs="Times New Roman"/>
                <w:b/>
                <w:bCs w:val="0"/>
                <w:color w:val="auto"/>
                <w:sz w:val="21"/>
                <w:szCs w:val="21"/>
              </w:rPr>
            </w:pPr>
            <w:r>
              <w:rPr>
                <w:rFonts w:hint="default" w:ascii="Times New Roman" w:hAnsi="Times New Roman" w:eastAsia="仿宋" w:cs="Times New Roman"/>
                <w:b/>
                <w:bCs w:val="0"/>
                <w:color w:val="auto"/>
                <w:sz w:val="21"/>
                <w:szCs w:val="21"/>
              </w:rPr>
              <w:t>风险物质数量与临界</w:t>
            </w:r>
          </w:p>
          <w:p>
            <w:pPr>
              <w:jc w:val="center"/>
              <w:rPr>
                <w:rFonts w:hint="default" w:ascii="Times New Roman" w:hAnsi="Times New Roman" w:eastAsia="仿宋" w:cs="Times New Roman"/>
                <w:b/>
                <w:bCs w:val="0"/>
                <w:color w:val="auto"/>
                <w:sz w:val="21"/>
                <w:szCs w:val="21"/>
              </w:rPr>
            </w:pPr>
            <w:r>
              <w:rPr>
                <w:rFonts w:hint="default" w:ascii="Times New Roman" w:hAnsi="Times New Roman" w:eastAsia="仿宋" w:cs="Times New Roman"/>
                <w:b/>
                <w:bCs w:val="0"/>
                <w:color w:val="auto"/>
                <w:sz w:val="21"/>
                <w:szCs w:val="21"/>
              </w:rPr>
              <w:t>量比值（Q）</w:t>
            </w:r>
          </w:p>
        </w:tc>
        <w:tc>
          <w:tcPr>
            <w:tcW w:w="5104" w:type="dxa"/>
            <w:gridSpan w:val="4"/>
            <w:vAlign w:val="center"/>
          </w:tcPr>
          <w:p>
            <w:pPr>
              <w:jc w:val="center"/>
              <w:rPr>
                <w:rFonts w:hint="default" w:ascii="Times New Roman" w:hAnsi="Times New Roman" w:eastAsia="仿宋" w:cs="Times New Roman"/>
                <w:b/>
                <w:bCs w:val="0"/>
                <w:color w:val="auto"/>
                <w:sz w:val="21"/>
                <w:szCs w:val="21"/>
              </w:rPr>
            </w:pPr>
            <w:r>
              <w:rPr>
                <w:rFonts w:hint="default" w:ascii="Times New Roman" w:hAnsi="Times New Roman" w:eastAsia="仿宋" w:cs="Times New Roman"/>
                <w:b/>
                <w:bCs w:val="0"/>
                <w:color w:val="auto"/>
                <w:sz w:val="21"/>
                <w:szCs w:val="21"/>
              </w:rPr>
              <w:t>生产工艺过程与环境风险控制水平（M）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83" w:type="dxa"/>
            <w:vMerge w:val="continue"/>
            <w:vAlign w:val="center"/>
          </w:tcPr>
          <w:p>
            <w:pPr>
              <w:jc w:val="center"/>
              <w:rPr>
                <w:rFonts w:hint="default" w:ascii="Times New Roman" w:hAnsi="Times New Roman" w:eastAsia="仿宋" w:cs="Times New Roman"/>
                <w:b/>
                <w:bCs w:val="0"/>
                <w:color w:val="auto"/>
                <w:sz w:val="21"/>
                <w:szCs w:val="21"/>
              </w:rPr>
            </w:pPr>
          </w:p>
        </w:tc>
        <w:tc>
          <w:tcPr>
            <w:tcW w:w="2268" w:type="dxa"/>
            <w:vMerge w:val="continue"/>
            <w:vAlign w:val="center"/>
          </w:tcPr>
          <w:p>
            <w:pPr>
              <w:jc w:val="center"/>
              <w:rPr>
                <w:rFonts w:hint="default" w:ascii="Times New Roman" w:hAnsi="Times New Roman" w:eastAsia="仿宋" w:cs="Times New Roman"/>
                <w:b/>
                <w:bCs w:val="0"/>
                <w:color w:val="auto"/>
                <w:sz w:val="21"/>
                <w:szCs w:val="21"/>
              </w:rPr>
            </w:pPr>
          </w:p>
        </w:tc>
        <w:tc>
          <w:tcPr>
            <w:tcW w:w="1276" w:type="dxa"/>
            <w:vAlign w:val="center"/>
          </w:tcPr>
          <w:p>
            <w:pPr>
              <w:jc w:val="center"/>
              <w:rPr>
                <w:rFonts w:hint="default" w:ascii="Times New Roman" w:hAnsi="Times New Roman" w:eastAsia="仿宋" w:cs="Times New Roman"/>
                <w:b/>
                <w:bCs w:val="0"/>
                <w:color w:val="auto"/>
                <w:sz w:val="21"/>
                <w:szCs w:val="21"/>
              </w:rPr>
            </w:pPr>
            <w:r>
              <w:rPr>
                <w:rFonts w:hint="default" w:ascii="Times New Roman" w:hAnsi="Times New Roman" w:eastAsia="仿宋" w:cs="Times New Roman"/>
                <w:b/>
                <w:bCs w:val="0"/>
                <w:color w:val="auto"/>
                <w:sz w:val="21"/>
                <w:szCs w:val="21"/>
              </w:rPr>
              <w:t>M1类水平</w:t>
            </w:r>
          </w:p>
        </w:tc>
        <w:tc>
          <w:tcPr>
            <w:tcW w:w="1276" w:type="dxa"/>
            <w:vAlign w:val="center"/>
          </w:tcPr>
          <w:p>
            <w:pPr>
              <w:jc w:val="center"/>
              <w:rPr>
                <w:rFonts w:hint="default" w:ascii="Times New Roman" w:hAnsi="Times New Roman" w:eastAsia="仿宋" w:cs="Times New Roman"/>
                <w:b/>
                <w:bCs w:val="0"/>
                <w:color w:val="auto"/>
                <w:sz w:val="21"/>
                <w:szCs w:val="21"/>
              </w:rPr>
            </w:pPr>
            <w:r>
              <w:rPr>
                <w:rFonts w:hint="default" w:ascii="Times New Roman" w:hAnsi="Times New Roman" w:eastAsia="仿宋" w:cs="Times New Roman"/>
                <w:b/>
                <w:bCs w:val="0"/>
                <w:color w:val="auto"/>
                <w:sz w:val="21"/>
                <w:szCs w:val="21"/>
              </w:rPr>
              <w:t>M2类水平</w:t>
            </w:r>
          </w:p>
        </w:tc>
        <w:tc>
          <w:tcPr>
            <w:tcW w:w="1276" w:type="dxa"/>
            <w:vAlign w:val="center"/>
          </w:tcPr>
          <w:p>
            <w:pPr>
              <w:jc w:val="center"/>
              <w:rPr>
                <w:rFonts w:hint="default" w:ascii="Times New Roman" w:hAnsi="Times New Roman" w:eastAsia="仿宋" w:cs="Times New Roman"/>
                <w:b/>
                <w:bCs w:val="0"/>
                <w:color w:val="auto"/>
                <w:sz w:val="21"/>
                <w:szCs w:val="21"/>
              </w:rPr>
            </w:pPr>
            <w:r>
              <w:rPr>
                <w:rFonts w:hint="default" w:ascii="Times New Roman" w:hAnsi="Times New Roman" w:eastAsia="仿宋" w:cs="Times New Roman"/>
                <w:b/>
                <w:bCs w:val="0"/>
                <w:color w:val="auto"/>
                <w:sz w:val="21"/>
                <w:szCs w:val="21"/>
              </w:rPr>
              <w:t>M3类水平</w:t>
            </w:r>
          </w:p>
        </w:tc>
        <w:tc>
          <w:tcPr>
            <w:tcW w:w="1276" w:type="dxa"/>
            <w:vAlign w:val="center"/>
          </w:tcPr>
          <w:p>
            <w:pPr>
              <w:jc w:val="center"/>
              <w:rPr>
                <w:rFonts w:hint="default" w:ascii="Times New Roman" w:hAnsi="Times New Roman" w:eastAsia="仿宋" w:cs="Times New Roman"/>
                <w:b/>
                <w:bCs w:val="0"/>
                <w:color w:val="auto"/>
                <w:sz w:val="21"/>
                <w:szCs w:val="21"/>
              </w:rPr>
            </w:pPr>
            <w:r>
              <w:rPr>
                <w:rFonts w:hint="default" w:ascii="Times New Roman" w:hAnsi="Times New Roman" w:eastAsia="仿宋" w:cs="Times New Roman"/>
                <w:b/>
                <w:bCs w:val="0"/>
                <w:color w:val="auto"/>
                <w:sz w:val="21"/>
                <w:szCs w:val="21"/>
              </w:rPr>
              <w:t>M4类水平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83" w:type="dxa"/>
            <w:vMerge w:val="restart"/>
            <w:vAlign w:val="center"/>
          </w:tcPr>
          <w:p>
            <w:pPr>
              <w:pStyle w:val="39"/>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类型1（E1）</w:t>
            </w:r>
          </w:p>
        </w:tc>
        <w:tc>
          <w:tcPr>
            <w:tcW w:w="2268"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1≤Q＜10（Q1）</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83" w:type="dxa"/>
            <w:vMerge w:val="continue"/>
            <w:vAlign w:val="center"/>
          </w:tcPr>
          <w:p>
            <w:pPr>
              <w:jc w:val="center"/>
              <w:rPr>
                <w:rFonts w:hint="default" w:ascii="Times New Roman" w:hAnsi="Times New Roman" w:eastAsia="仿宋" w:cs="Times New Roman"/>
                <w:bCs/>
                <w:color w:val="auto"/>
                <w:sz w:val="21"/>
                <w:szCs w:val="21"/>
              </w:rPr>
            </w:pPr>
          </w:p>
        </w:tc>
        <w:tc>
          <w:tcPr>
            <w:tcW w:w="2268"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10≤ Q＜100（Q2）</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83" w:type="dxa"/>
            <w:vMerge w:val="continue"/>
            <w:vAlign w:val="center"/>
          </w:tcPr>
          <w:p>
            <w:pPr>
              <w:jc w:val="center"/>
              <w:rPr>
                <w:rFonts w:hint="default" w:ascii="Times New Roman" w:hAnsi="Times New Roman" w:eastAsia="仿宋" w:cs="Times New Roman"/>
                <w:bCs/>
                <w:color w:val="auto"/>
                <w:sz w:val="21"/>
                <w:szCs w:val="21"/>
              </w:rPr>
            </w:pPr>
          </w:p>
        </w:tc>
        <w:tc>
          <w:tcPr>
            <w:tcW w:w="2268"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Q≥ 100（Q3）</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276" w:type="dxa"/>
            <w:tcBorders>
              <w:bottom w:val="single" w:color="000000" w:sz="6" w:space="0"/>
            </w:tcBorders>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276" w:type="dxa"/>
            <w:tcBorders>
              <w:bottom w:val="single" w:color="auto" w:sz="6" w:space="0"/>
            </w:tcBorders>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383" w:type="dxa"/>
            <w:vMerge w:val="restart"/>
            <w:shd w:val="clear" w:color="auto" w:fill="auto"/>
            <w:vAlign w:val="center"/>
          </w:tcPr>
          <w:p>
            <w:pPr>
              <w:pStyle w:val="39"/>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类型2（E2）</w:t>
            </w:r>
          </w:p>
        </w:tc>
        <w:tc>
          <w:tcPr>
            <w:tcW w:w="2268"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1≤Q＜10（Q1）</w:t>
            </w:r>
          </w:p>
        </w:tc>
        <w:tc>
          <w:tcPr>
            <w:tcW w:w="1276" w:type="dxa"/>
            <w:tcBorders>
              <w:right w:val="single" w:color="000000" w:sz="6" w:space="0"/>
            </w:tcBorders>
            <w:shd w:val="clear" w:color="auto" w:fill="EEECE1" w:themeFill="background2"/>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一般</w:t>
            </w:r>
          </w:p>
        </w:tc>
        <w:tc>
          <w:tcPr>
            <w:tcW w:w="1276"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276" w:type="dxa"/>
            <w:tcBorders>
              <w:left w:val="single" w:color="000000" w:sz="6" w:space="0"/>
            </w:tcBorders>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83" w:type="dxa"/>
            <w:vMerge w:val="continue"/>
            <w:vAlign w:val="center"/>
          </w:tcPr>
          <w:p>
            <w:pPr>
              <w:jc w:val="center"/>
              <w:rPr>
                <w:rFonts w:hint="default" w:ascii="Times New Roman" w:hAnsi="Times New Roman" w:eastAsia="仿宋" w:cs="Times New Roman"/>
                <w:bCs/>
                <w:color w:val="auto"/>
                <w:sz w:val="21"/>
                <w:szCs w:val="21"/>
              </w:rPr>
            </w:pPr>
          </w:p>
        </w:tc>
        <w:tc>
          <w:tcPr>
            <w:tcW w:w="2268"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10≤ Q＜100（Q2）</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276" w:type="dxa"/>
            <w:tcBorders>
              <w:top w:val="single" w:color="000000" w:sz="6" w:space="0"/>
            </w:tcBorders>
            <w:vAlign w:val="top"/>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83" w:type="dxa"/>
            <w:vMerge w:val="continue"/>
            <w:vAlign w:val="center"/>
          </w:tcPr>
          <w:p>
            <w:pPr>
              <w:jc w:val="center"/>
              <w:rPr>
                <w:rFonts w:hint="default" w:ascii="Times New Roman" w:hAnsi="Times New Roman" w:eastAsia="仿宋" w:cs="Times New Roman"/>
                <w:bCs/>
                <w:color w:val="auto"/>
                <w:sz w:val="21"/>
                <w:szCs w:val="21"/>
              </w:rPr>
            </w:pPr>
          </w:p>
        </w:tc>
        <w:tc>
          <w:tcPr>
            <w:tcW w:w="2268"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Q≥ 100（Q3）</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83" w:type="dxa"/>
            <w:vMerge w:val="restart"/>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类型3（E3）</w:t>
            </w:r>
          </w:p>
        </w:tc>
        <w:tc>
          <w:tcPr>
            <w:tcW w:w="2268"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1≤Q＜10（Q1）</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一般</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一般</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83" w:type="dxa"/>
            <w:vMerge w:val="continue"/>
            <w:vAlign w:val="center"/>
          </w:tcPr>
          <w:p>
            <w:pPr>
              <w:jc w:val="center"/>
              <w:rPr>
                <w:rFonts w:hint="default" w:ascii="Times New Roman" w:hAnsi="Times New Roman" w:eastAsia="仿宋" w:cs="Times New Roman"/>
                <w:bCs/>
                <w:color w:val="auto"/>
                <w:sz w:val="21"/>
                <w:szCs w:val="21"/>
              </w:rPr>
            </w:pPr>
          </w:p>
        </w:tc>
        <w:tc>
          <w:tcPr>
            <w:tcW w:w="2268"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10≤ Q＜100（Q2）</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一般</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83" w:type="dxa"/>
            <w:vMerge w:val="continue"/>
            <w:vAlign w:val="center"/>
          </w:tcPr>
          <w:p>
            <w:pPr>
              <w:jc w:val="center"/>
              <w:rPr>
                <w:rFonts w:hint="default" w:ascii="Times New Roman" w:hAnsi="Times New Roman" w:eastAsia="仿宋" w:cs="Times New Roman"/>
                <w:bCs/>
                <w:color w:val="auto"/>
                <w:sz w:val="21"/>
                <w:szCs w:val="21"/>
              </w:rPr>
            </w:pPr>
          </w:p>
        </w:tc>
        <w:tc>
          <w:tcPr>
            <w:tcW w:w="2268"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Q≥ 100（Q3）</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276" w:type="dxa"/>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r>
    </w:tbl>
    <w:p>
      <w:pPr>
        <w:pStyle w:val="8"/>
        <w:spacing w:beforeLines="50" w:afterLines="50" w:line="500" w:lineRule="exact"/>
        <w:ind w:firstLine="0" w:firstLineChars="0"/>
        <w:outlineLvl w:val="2"/>
        <w:rPr>
          <w:rFonts w:hint="default" w:ascii="Times New Roman" w:eastAsia="仿宋"/>
          <w:b/>
          <w:color w:val="auto"/>
          <w:szCs w:val="28"/>
        </w:rPr>
      </w:pPr>
      <w:bookmarkStart w:id="107" w:name="_Toc17078"/>
      <w:r>
        <w:rPr>
          <w:rFonts w:hint="eastAsia" w:ascii="Times New Roman" w:eastAsia="仿宋"/>
          <w:b/>
          <w:color w:val="auto"/>
          <w:szCs w:val="28"/>
        </w:rPr>
        <w:t>6.2.5</w:t>
      </w:r>
      <w:r>
        <w:rPr>
          <w:rFonts w:hint="default" w:ascii="Times New Roman" w:eastAsia="仿宋"/>
          <w:b/>
          <w:color w:val="auto"/>
          <w:szCs w:val="28"/>
        </w:rPr>
        <w:t>突发大气环境事件风险等级表征</w:t>
      </w:r>
      <w:bookmarkEnd w:id="107"/>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根据《企业突发环境事件风险分级方法》，企业突发大气环境事件风险等级表征分为两种情况：</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（1）Q＜1时，企业突发大气环境事件风险等级表示为“一般-大气（Q0）”。</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（2）Q≥1时，企业突发大气环境事件风险等级表示为“环境风险等级-大气（Q水平-M类型-E类型）”</w:t>
      </w:r>
    </w:p>
    <w:p>
      <w:pPr>
        <w:snapToGrid w:val="0"/>
        <w:spacing w:line="240" w:lineRule="auto"/>
        <w:ind w:firstLine="560" w:firstLineChars="200"/>
        <w:rPr>
          <w:rFonts w:hint="eastAsia"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rPr>
        <w:t>根据江苏超力建材科技有限公司环境风险物质最大存在总量与临界量比值（Q）</w:t>
      </w:r>
      <w:r>
        <w:rPr>
          <w:rFonts w:hint="default" w:ascii="Times New Roman" w:hAnsi="Times New Roman" w:eastAsia="仿宋" w:cs="Times New Roman"/>
          <w:color w:val="auto"/>
          <w:sz w:val="28"/>
          <w:szCs w:val="28"/>
          <w:lang w:eastAsia="zh-CN"/>
        </w:rPr>
        <w:t>直接</w:t>
      </w:r>
      <w:r>
        <w:rPr>
          <w:rFonts w:hint="default" w:ascii="Times New Roman" w:hAnsi="Times New Roman" w:eastAsia="仿宋" w:cs="Times New Roman"/>
          <w:color w:val="auto"/>
          <w:sz w:val="28"/>
          <w:szCs w:val="28"/>
        </w:rPr>
        <w:t>确定企业的突发大气环境事件风险等级表征为</w:t>
      </w:r>
      <w:r>
        <w:rPr>
          <w:rFonts w:hint="default" w:ascii="Times New Roman" w:hAnsi="Times New Roman" w:eastAsia="仿宋" w:cs="Times New Roman"/>
          <w:color w:val="auto"/>
          <w:sz w:val="28"/>
          <w:szCs w:val="28"/>
          <w:lang w:val="en-US" w:eastAsia="zh-CN"/>
        </w:rPr>
        <w:t>：</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lang w:eastAsia="zh-CN"/>
        </w:rPr>
        <w:t>一般</w:t>
      </w: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eastAsia="zh-CN"/>
        </w:rPr>
        <w:t>大气</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lang w:val="en-US" w:eastAsia="zh-CN"/>
        </w:rPr>
        <w:t>Q</w:t>
      </w:r>
      <w:r>
        <w:rPr>
          <w:rFonts w:hint="eastAsia"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rPr>
        <w:t>水平</w:t>
      </w:r>
      <w:r>
        <w:rPr>
          <w:rFonts w:hint="eastAsia" w:ascii="Times New Roman" w:hAnsi="Times New Roman" w:eastAsia="仿宋" w:cs="Times New Roman"/>
          <w:color w:val="auto"/>
          <w:sz w:val="28"/>
          <w:szCs w:val="28"/>
          <w:lang w:val="en-US" w:eastAsia="zh-CN"/>
        </w:rPr>
        <w:t>-M1</w:t>
      </w:r>
      <w:r>
        <w:rPr>
          <w:rFonts w:hint="default" w:ascii="Times New Roman" w:hAnsi="Times New Roman" w:eastAsia="仿宋" w:cs="Times New Roman"/>
          <w:color w:val="auto"/>
          <w:sz w:val="28"/>
          <w:szCs w:val="28"/>
        </w:rPr>
        <w:t>类型</w:t>
      </w:r>
      <w:r>
        <w:rPr>
          <w:rFonts w:hint="eastAsia" w:ascii="Times New Roman" w:hAnsi="Times New Roman" w:eastAsia="仿宋" w:cs="Times New Roman"/>
          <w:color w:val="auto"/>
          <w:sz w:val="28"/>
          <w:szCs w:val="28"/>
          <w:lang w:val="en-US" w:eastAsia="zh-CN"/>
        </w:rPr>
        <w:t>-E2</w:t>
      </w:r>
      <w:r>
        <w:rPr>
          <w:rFonts w:hint="default" w:ascii="Times New Roman" w:hAnsi="Times New Roman" w:eastAsia="仿宋" w:cs="Times New Roman"/>
          <w:color w:val="auto"/>
          <w:sz w:val="28"/>
          <w:szCs w:val="28"/>
        </w:rPr>
        <w:t>类型</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lang w:eastAsia="zh-CN"/>
        </w:rPr>
        <w:t>。</w:t>
      </w:r>
    </w:p>
    <w:p>
      <w:pPr>
        <w:pStyle w:val="5"/>
        <w:keepNext/>
        <w:keepLines/>
        <w:widowControl w:val="0"/>
        <w:adjustRightInd w:val="0"/>
        <w:snapToGrid w:val="0"/>
        <w:spacing w:beforeLines="50" w:afterLines="50" w:line="500" w:lineRule="exact"/>
        <w:ind w:left="0"/>
        <w:jc w:val="both"/>
        <w:rPr>
          <w:rFonts w:hint="default" w:ascii="Times New Roman" w:hAnsi="Times New Roman" w:eastAsia="仿宋" w:cs="Times New Roman"/>
          <w:b/>
          <w:color w:val="auto"/>
          <w:sz w:val="30"/>
          <w:szCs w:val="30"/>
        </w:rPr>
      </w:pPr>
      <w:bookmarkStart w:id="108" w:name="_Toc516436390"/>
      <w:bookmarkStart w:id="109" w:name="_Toc25163"/>
      <w:r>
        <w:rPr>
          <w:rFonts w:hint="default" w:ascii="Times New Roman" w:hAnsi="Times New Roman" w:eastAsia="仿宋" w:cs="Times New Roman"/>
          <w:b/>
          <w:color w:val="auto"/>
          <w:sz w:val="30"/>
          <w:szCs w:val="30"/>
        </w:rPr>
        <w:t>6.3突发水环境事件分级</w:t>
      </w:r>
      <w:bookmarkEnd w:id="108"/>
      <w:bookmarkEnd w:id="109"/>
    </w:p>
    <w:p>
      <w:pPr>
        <w:pStyle w:val="8"/>
        <w:spacing w:beforeLines="50" w:afterLines="50" w:line="500" w:lineRule="exact"/>
        <w:ind w:firstLine="0" w:firstLineChars="0"/>
        <w:outlineLvl w:val="2"/>
        <w:rPr>
          <w:rFonts w:hint="eastAsia" w:ascii="Times New Roman" w:eastAsia="仿宋"/>
          <w:b/>
          <w:color w:val="auto"/>
          <w:szCs w:val="28"/>
        </w:rPr>
      </w:pPr>
      <w:bookmarkStart w:id="110" w:name="_Toc16386"/>
      <w:r>
        <w:rPr>
          <w:rFonts w:hint="eastAsia" w:ascii="Times New Roman" w:eastAsia="仿宋"/>
          <w:b/>
          <w:color w:val="auto"/>
          <w:szCs w:val="28"/>
        </w:rPr>
        <w:t>6.3.1涉水风险物质数量与临界量比值（Q）</w:t>
      </w:r>
      <w:bookmarkEnd w:id="110"/>
    </w:p>
    <w:p>
      <w:pPr>
        <w:snapToGrid w:val="0"/>
        <w:spacing w:line="240" w:lineRule="auto"/>
        <w:ind w:firstLine="560" w:firstLineChars="200"/>
        <w:rPr>
          <w:rFonts w:hint="eastAsia" w:eastAsia="仿宋"/>
          <w:color w:val="auto"/>
          <w:sz w:val="28"/>
          <w:szCs w:val="28"/>
        </w:rPr>
      </w:pPr>
      <w:r>
        <w:rPr>
          <w:rFonts w:hint="default" w:ascii="Times New Roman" w:hAnsi="Times New Roman" w:eastAsia="仿宋" w:cs="Times New Roman"/>
          <w:color w:val="auto"/>
          <w:sz w:val="28"/>
          <w:szCs w:val="28"/>
        </w:rPr>
        <w:t>根据《企业突发环境事件风险分级方法》（HJ 941-2018），企业涉水风险物质的储存及突发不环境事件分级判别情况见表6.3-1</w:t>
      </w:r>
      <w:r>
        <w:rPr>
          <w:rFonts w:hint="eastAsia" w:eastAsia="仿宋"/>
          <w:color w:val="auto"/>
          <w:sz w:val="28"/>
          <w:szCs w:val="28"/>
        </w:rPr>
        <w:t>。</w:t>
      </w:r>
    </w:p>
    <w:p>
      <w:pPr>
        <w:widowControl w:val="0"/>
        <w:wordWrap/>
        <w:adjustRightInd/>
        <w:snapToGrid/>
        <w:spacing w:beforeLines="50"/>
        <w:jc w:val="center"/>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bCs/>
          <w:color w:val="auto"/>
          <w:sz w:val="24"/>
          <w:szCs w:val="24"/>
        </w:rPr>
        <w:t>表6.</w:t>
      </w:r>
      <w:r>
        <w:rPr>
          <w:rFonts w:hint="eastAsia" w:ascii="Times New Roman" w:hAnsi="Times New Roman" w:eastAsia="仿宋" w:cs="Times New Roman"/>
          <w:b/>
          <w:bCs/>
          <w:color w:val="auto"/>
          <w:sz w:val="24"/>
          <w:szCs w:val="24"/>
        </w:rPr>
        <w:t>3</w:t>
      </w:r>
      <w:r>
        <w:rPr>
          <w:rFonts w:hint="default" w:ascii="Times New Roman" w:hAnsi="Times New Roman" w:eastAsia="仿宋" w:cs="Times New Roman"/>
          <w:b/>
          <w:bCs/>
          <w:color w:val="auto"/>
          <w:sz w:val="24"/>
          <w:szCs w:val="24"/>
        </w:rPr>
        <w:t>-1涉</w:t>
      </w:r>
      <w:r>
        <w:rPr>
          <w:rFonts w:hint="eastAsia" w:ascii="Times New Roman" w:hAnsi="Times New Roman" w:eastAsia="仿宋" w:cs="Times New Roman"/>
          <w:b/>
          <w:bCs/>
          <w:color w:val="auto"/>
          <w:sz w:val="24"/>
          <w:szCs w:val="24"/>
        </w:rPr>
        <w:t>水</w:t>
      </w:r>
      <w:r>
        <w:rPr>
          <w:rFonts w:hint="default" w:ascii="Times New Roman" w:hAnsi="Times New Roman" w:eastAsia="仿宋" w:cs="Times New Roman"/>
          <w:b/>
          <w:bCs/>
          <w:color w:val="auto"/>
          <w:sz w:val="24"/>
          <w:szCs w:val="24"/>
        </w:rPr>
        <w:t>风险物质的储存情况及风险源判别</w:t>
      </w:r>
    </w:p>
    <w:tbl>
      <w:tblPr>
        <w:tblStyle w:val="21"/>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684"/>
        <w:gridCol w:w="1345"/>
        <w:gridCol w:w="1590"/>
        <w:gridCol w:w="1594"/>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blHeader/>
          <w:jc w:val="center"/>
        </w:trPr>
        <w:tc>
          <w:tcPr>
            <w:tcW w:w="766"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序号</w:t>
            </w:r>
          </w:p>
        </w:tc>
        <w:tc>
          <w:tcPr>
            <w:tcW w:w="168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物质名称</w:t>
            </w:r>
          </w:p>
        </w:tc>
        <w:tc>
          <w:tcPr>
            <w:tcW w:w="1345"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临界量Q(吨)</w:t>
            </w:r>
          </w:p>
        </w:tc>
        <w:tc>
          <w:tcPr>
            <w:tcW w:w="159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最大存储量（吨）</w:t>
            </w:r>
          </w:p>
        </w:tc>
        <w:tc>
          <w:tcPr>
            <w:tcW w:w="159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存储位置</w:t>
            </w:r>
          </w:p>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（吨）</w:t>
            </w:r>
          </w:p>
        </w:tc>
        <w:tc>
          <w:tcPr>
            <w:tcW w:w="158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tblHeader/>
          <w:jc w:val="center"/>
        </w:trPr>
        <w:tc>
          <w:tcPr>
            <w:tcW w:w="766"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168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丙烯酸</w:t>
            </w:r>
          </w:p>
        </w:tc>
        <w:tc>
          <w:tcPr>
            <w:tcW w:w="1345"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10</w:t>
            </w:r>
            <w:r>
              <w:rPr>
                <w:rFonts w:hint="default" w:ascii="Times New Roman" w:hAnsi="Times New Roman" w:eastAsia="仿宋" w:cs="Times New Roman"/>
                <w:color w:val="auto"/>
                <w:sz w:val="21"/>
                <w:szCs w:val="21"/>
                <w:highlight w:val="none"/>
              </w:rPr>
              <w:t>0*</w:t>
            </w:r>
          </w:p>
        </w:tc>
        <w:tc>
          <w:tcPr>
            <w:tcW w:w="159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90</w:t>
            </w:r>
          </w:p>
        </w:tc>
        <w:tc>
          <w:tcPr>
            <w:tcW w:w="159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罐组二</w:t>
            </w:r>
          </w:p>
        </w:tc>
        <w:tc>
          <w:tcPr>
            <w:tcW w:w="158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tblHeader/>
          <w:jc w:val="center"/>
        </w:trPr>
        <w:tc>
          <w:tcPr>
            <w:tcW w:w="766"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w:t>
            </w:r>
          </w:p>
        </w:tc>
        <w:tc>
          <w:tcPr>
            <w:tcW w:w="168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聚醚</w:t>
            </w:r>
          </w:p>
        </w:tc>
        <w:tc>
          <w:tcPr>
            <w:tcW w:w="1345"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200</w:t>
            </w:r>
            <w:r>
              <w:rPr>
                <w:rFonts w:hint="default" w:ascii="Times New Roman" w:hAnsi="Times New Roman" w:eastAsia="仿宋" w:cs="Times New Roman"/>
                <w:color w:val="auto"/>
                <w:sz w:val="21"/>
                <w:szCs w:val="21"/>
                <w:highlight w:val="none"/>
              </w:rPr>
              <w:t>*</w:t>
            </w:r>
          </w:p>
        </w:tc>
        <w:tc>
          <w:tcPr>
            <w:tcW w:w="159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320</w:t>
            </w:r>
          </w:p>
        </w:tc>
        <w:tc>
          <w:tcPr>
            <w:tcW w:w="159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罐组</w:t>
            </w:r>
          </w:p>
        </w:tc>
        <w:tc>
          <w:tcPr>
            <w:tcW w:w="158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tblHeader/>
          <w:jc w:val="center"/>
        </w:trPr>
        <w:tc>
          <w:tcPr>
            <w:tcW w:w="766"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w:t>
            </w:r>
          </w:p>
        </w:tc>
        <w:tc>
          <w:tcPr>
            <w:tcW w:w="168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双氧水</w:t>
            </w:r>
          </w:p>
        </w:tc>
        <w:tc>
          <w:tcPr>
            <w:tcW w:w="1345"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200*</w:t>
            </w:r>
          </w:p>
        </w:tc>
        <w:tc>
          <w:tcPr>
            <w:tcW w:w="159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9</w:t>
            </w:r>
          </w:p>
        </w:tc>
        <w:tc>
          <w:tcPr>
            <w:tcW w:w="159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仓库</w:t>
            </w:r>
          </w:p>
        </w:tc>
        <w:tc>
          <w:tcPr>
            <w:tcW w:w="158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tblHeader/>
          <w:jc w:val="center"/>
        </w:trPr>
        <w:tc>
          <w:tcPr>
            <w:tcW w:w="766"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4</w:t>
            </w:r>
          </w:p>
        </w:tc>
        <w:tc>
          <w:tcPr>
            <w:tcW w:w="168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巯基丙酸</w:t>
            </w:r>
          </w:p>
        </w:tc>
        <w:tc>
          <w:tcPr>
            <w:tcW w:w="1345"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50*</w:t>
            </w:r>
          </w:p>
        </w:tc>
        <w:tc>
          <w:tcPr>
            <w:tcW w:w="159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w:t>
            </w:r>
          </w:p>
        </w:tc>
        <w:tc>
          <w:tcPr>
            <w:tcW w:w="159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仓库</w:t>
            </w:r>
          </w:p>
        </w:tc>
        <w:tc>
          <w:tcPr>
            <w:tcW w:w="158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tblHeader/>
          <w:jc w:val="center"/>
        </w:trPr>
        <w:tc>
          <w:tcPr>
            <w:tcW w:w="766"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168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液碱</w:t>
            </w:r>
          </w:p>
        </w:tc>
        <w:tc>
          <w:tcPr>
            <w:tcW w:w="1345"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200</w:t>
            </w:r>
          </w:p>
        </w:tc>
        <w:tc>
          <w:tcPr>
            <w:tcW w:w="159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70</w:t>
            </w:r>
          </w:p>
        </w:tc>
        <w:tc>
          <w:tcPr>
            <w:tcW w:w="159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罐区</w:t>
            </w:r>
          </w:p>
        </w:tc>
        <w:tc>
          <w:tcPr>
            <w:tcW w:w="158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tblHeader/>
          <w:jc w:val="center"/>
        </w:trPr>
        <w:tc>
          <w:tcPr>
            <w:tcW w:w="766"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6</w:t>
            </w:r>
          </w:p>
        </w:tc>
        <w:tc>
          <w:tcPr>
            <w:tcW w:w="168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eastAsia="zh-CN"/>
              </w:rPr>
            </w:pPr>
            <w:r>
              <w:rPr>
                <w:rFonts w:hint="eastAsia" w:ascii="Times New Roman" w:hAnsi="Times New Roman" w:eastAsia="仿宋" w:cs="Times New Roman"/>
                <w:color w:val="auto"/>
                <w:sz w:val="21"/>
                <w:szCs w:val="21"/>
                <w:highlight w:val="none"/>
                <w:lang w:eastAsia="zh-CN"/>
              </w:rPr>
              <w:t>外加剂成品</w:t>
            </w:r>
          </w:p>
        </w:tc>
        <w:tc>
          <w:tcPr>
            <w:tcW w:w="1345"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200</w:t>
            </w:r>
          </w:p>
        </w:tc>
        <w:tc>
          <w:tcPr>
            <w:tcW w:w="159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300</w:t>
            </w:r>
          </w:p>
        </w:tc>
        <w:tc>
          <w:tcPr>
            <w:tcW w:w="1594"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eastAsia="zh-CN"/>
              </w:rPr>
            </w:pPr>
            <w:r>
              <w:rPr>
                <w:rFonts w:hint="eastAsia" w:ascii="Times New Roman" w:hAnsi="Times New Roman" w:eastAsia="仿宋" w:cs="Times New Roman"/>
                <w:color w:val="auto"/>
                <w:sz w:val="21"/>
                <w:szCs w:val="21"/>
                <w:highlight w:val="none"/>
                <w:lang w:eastAsia="zh-CN"/>
              </w:rPr>
              <w:t>罐区</w:t>
            </w:r>
          </w:p>
        </w:tc>
        <w:tc>
          <w:tcPr>
            <w:tcW w:w="158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blHeader/>
          <w:jc w:val="center"/>
        </w:trPr>
        <w:tc>
          <w:tcPr>
            <w:tcW w:w="6979" w:type="dxa"/>
            <w:gridSpan w:val="5"/>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合计</w:t>
            </w:r>
          </w:p>
        </w:tc>
        <w:tc>
          <w:tcPr>
            <w:tcW w:w="1580" w:type="dxa"/>
            <w:vAlign w:val="center"/>
          </w:tcPr>
          <w:p>
            <w:pPr>
              <w:pStyle w:val="33"/>
              <w:pBdr>
                <w:top w:val="none" w:color="000000" w:sz="0" w:space="0"/>
                <w:left w:val="none" w:color="000000" w:sz="0" w:space="0"/>
                <w:bottom w:val="none" w:color="000000" w:sz="0" w:space="0"/>
                <w:right w:val="none" w:color="000000" w:sz="0" w:space="0"/>
                <w:between w:val="none" w:color="000000" w:sz="0" w:space="0"/>
              </w:pBdr>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blHeader/>
          <w:jc w:val="center"/>
        </w:trPr>
        <w:tc>
          <w:tcPr>
            <w:tcW w:w="8559" w:type="dxa"/>
            <w:gridSpan w:val="6"/>
            <w:vAlign w:val="center"/>
          </w:tcPr>
          <w:p>
            <w:pPr>
              <w:pStyle w:val="33"/>
              <w:pBdr>
                <w:top w:val="none" w:color="000000" w:sz="0" w:space="0"/>
                <w:left w:val="none" w:color="000000" w:sz="0" w:space="0"/>
                <w:bottom w:val="none" w:color="000000" w:sz="0" w:space="0"/>
                <w:right w:val="none" w:color="000000" w:sz="0" w:space="0"/>
                <w:between w:val="none" w:color="000000" w:sz="0" w:space="0"/>
              </w:pBdr>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*第八部分其他类物质及污染物，该物质临界量参考GB18128-2018</w:t>
            </w:r>
          </w:p>
        </w:tc>
      </w:tr>
    </w:tbl>
    <w:p>
      <w:pPr>
        <w:pStyle w:val="8"/>
        <w:spacing w:beforeLines="50" w:afterLines="50" w:line="500" w:lineRule="exact"/>
        <w:ind w:firstLine="560"/>
        <w:rPr>
          <w:rFonts w:hint="eastAsia" w:ascii="宋体" w:hAnsi="宋体"/>
          <w:color w:val="auto"/>
          <w:szCs w:val="28"/>
          <w:highlight w:val="none"/>
        </w:rPr>
      </w:pPr>
      <w:r>
        <w:rPr>
          <w:rFonts w:ascii="Times New Roman" w:eastAsia="仿宋"/>
          <w:color w:val="auto"/>
          <w:highlight w:val="none"/>
        </w:rPr>
        <w:t>按公式计算：q</w:t>
      </w:r>
      <w:r>
        <w:rPr>
          <w:rFonts w:ascii="Times New Roman" w:eastAsia="仿宋"/>
          <w:color w:val="auto"/>
          <w:highlight w:val="none"/>
          <w:vertAlign w:val="subscript"/>
        </w:rPr>
        <w:t>1</w:t>
      </w:r>
      <w:r>
        <w:rPr>
          <w:rFonts w:ascii="Times New Roman" w:eastAsia="仿宋"/>
          <w:color w:val="auto"/>
          <w:highlight w:val="none"/>
        </w:rPr>
        <w:t>/Q</w:t>
      </w:r>
      <w:r>
        <w:rPr>
          <w:rFonts w:ascii="Times New Roman" w:eastAsia="仿宋"/>
          <w:color w:val="auto"/>
          <w:highlight w:val="none"/>
          <w:vertAlign w:val="subscript"/>
        </w:rPr>
        <w:t>1</w:t>
      </w:r>
      <w:r>
        <w:rPr>
          <w:rFonts w:ascii="Times New Roman" w:eastAsia="仿宋"/>
          <w:color w:val="auto"/>
          <w:highlight w:val="none"/>
        </w:rPr>
        <w:t>＋q</w:t>
      </w:r>
      <w:r>
        <w:rPr>
          <w:rFonts w:ascii="Times New Roman" w:eastAsia="仿宋"/>
          <w:color w:val="auto"/>
          <w:highlight w:val="none"/>
          <w:vertAlign w:val="subscript"/>
        </w:rPr>
        <w:t>2</w:t>
      </w:r>
      <w:r>
        <w:rPr>
          <w:rFonts w:ascii="Times New Roman" w:eastAsia="仿宋"/>
          <w:color w:val="auto"/>
          <w:highlight w:val="none"/>
        </w:rPr>
        <w:t>/Q</w:t>
      </w:r>
      <w:r>
        <w:rPr>
          <w:rFonts w:ascii="Times New Roman" w:eastAsia="仿宋"/>
          <w:color w:val="auto"/>
          <w:highlight w:val="none"/>
          <w:vertAlign w:val="subscript"/>
        </w:rPr>
        <w:t>2</w:t>
      </w:r>
      <w:r>
        <w:rPr>
          <w:rFonts w:ascii="Times New Roman" w:eastAsia="仿宋"/>
          <w:color w:val="auto"/>
          <w:highlight w:val="none"/>
        </w:rPr>
        <w:t>……=</w:t>
      </w:r>
      <w:r>
        <w:rPr>
          <w:rFonts w:hint="eastAsia" w:ascii="Times New Roman" w:eastAsia="仿宋"/>
          <w:color w:val="auto"/>
          <w:highlight w:val="none"/>
          <w:lang w:val="en-US" w:eastAsia="zh-CN"/>
        </w:rPr>
        <w:t xml:space="preserve"> 4.515</w:t>
      </w:r>
      <w:r>
        <w:rPr>
          <w:rFonts w:ascii="Times New Roman" w:eastAsia="仿宋"/>
          <w:color w:val="auto"/>
          <w:highlight w:val="none"/>
        </w:rPr>
        <w:t>，属于Q</w:t>
      </w:r>
      <w:r>
        <w:rPr>
          <w:rFonts w:hint="default" w:ascii="Times New Roman" w:hAnsi="Times New Roman" w:eastAsia="仿宋" w:cs="Times New Roman"/>
          <w:color w:val="auto"/>
          <w:highlight w:val="none"/>
        </w:rPr>
        <w:t>&gt;</w:t>
      </w:r>
      <w:r>
        <w:rPr>
          <w:rFonts w:ascii="Times New Roman" w:eastAsia="仿宋"/>
          <w:color w:val="auto"/>
          <w:highlight w:val="none"/>
        </w:rPr>
        <w:t>1范围内，以Q</w:t>
      </w:r>
      <w:r>
        <w:rPr>
          <w:rFonts w:hint="eastAsia" w:ascii="Times New Roman" w:eastAsia="仿宋"/>
          <w:color w:val="auto"/>
          <w:highlight w:val="none"/>
          <w:vertAlign w:val="subscript"/>
          <w:lang w:val="en-US" w:eastAsia="zh-CN"/>
        </w:rPr>
        <w:t>1</w:t>
      </w:r>
      <w:r>
        <w:rPr>
          <w:rFonts w:ascii="Times New Roman" w:eastAsia="仿宋"/>
          <w:color w:val="auto"/>
          <w:highlight w:val="none"/>
        </w:rPr>
        <w:t>计</w:t>
      </w:r>
      <w:r>
        <w:rPr>
          <w:rFonts w:hint="eastAsia" w:ascii="Times New Roman" w:eastAsia="仿宋"/>
          <w:color w:val="auto"/>
          <w:highlight w:val="none"/>
        </w:rPr>
        <w:t>。</w:t>
      </w:r>
    </w:p>
    <w:p>
      <w:pPr>
        <w:pStyle w:val="8"/>
        <w:spacing w:beforeLines="50" w:afterLines="50" w:line="500" w:lineRule="exact"/>
        <w:ind w:firstLine="0" w:firstLineChars="0"/>
        <w:outlineLvl w:val="2"/>
        <w:rPr>
          <w:rFonts w:hint="eastAsia" w:ascii="Times New Roman" w:eastAsia="仿宋"/>
          <w:b/>
          <w:color w:val="auto"/>
          <w:szCs w:val="28"/>
        </w:rPr>
      </w:pPr>
      <w:bookmarkStart w:id="111" w:name="_Toc16166"/>
      <w:r>
        <w:rPr>
          <w:rFonts w:hint="eastAsia" w:ascii="Times New Roman" w:eastAsia="仿宋"/>
          <w:b/>
          <w:color w:val="auto"/>
          <w:szCs w:val="28"/>
        </w:rPr>
        <w:t>6.3.2生产工艺与</w:t>
      </w:r>
      <w:r>
        <w:rPr>
          <w:rFonts w:hint="eastAsia" w:ascii="Times New Roman" w:eastAsia="仿宋"/>
          <w:b/>
          <w:color w:val="auto"/>
          <w:szCs w:val="28"/>
          <w:lang w:eastAsia="zh-CN"/>
        </w:rPr>
        <w:t>水</w:t>
      </w:r>
      <w:r>
        <w:rPr>
          <w:rFonts w:hint="eastAsia" w:ascii="Times New Roman" w:eastAsia="仿宋"/>
          <w:b/>
          <w:color w:val="auto"/>
          <w:szCs w:val="28"/>
        </w:rPr>
        <w:t>环境风险控制水平（M）</w:t>
      </w:r>
      <w:bookmarkEnd w:id="111"/>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（1）生产工艺过程含有风险工艺和设备情况</w:t>
      </w:r>
    </w:p>
    <w:p>
      <w:pPr>
        <w:pStyle w:val="8"/>
        <w:spacing w:beforeLines="50" w:afterLines="50" w:line="240" w:lineRule="auto"/>
        <w:ind w:firstLine="560"/>
        <w:rPr>
          <w:rFonts w:hint="default" w:ascii="Times New Roman" w:hAnsi="Times New Roman" w:eastAsia="仿宋" w:cs="Times New Roman"/>
          <w:color w:val="auto"/>
        </w:rPr>
      </w:pPr>
      <w:r>
        <w:rPr>
          <w:rFonts w:hint="default" w:ascii="Times New Roman" w:hAnsi="Times New Roman" w:eastAsia="仿宋" w:cs="Times New Roman"/>
          <w:color w:val="auto"/>
        </w:rPr>
        <w:t>同6.2.2部分。</w:t>
      </w:r>
      <w:r>
        <w:rPr>
          <w:rFonts w:hint="default" w:ascii="Times New Roman" w:hAnsi="Times New Roman" w:eastAsia="仿宋" w:cs="Times New Roman"/>
          <w:color w:val="auto"/>
          <w:szCs w:val="28"/>
        </w:rPr>
        <w:t>企业生产工艺最高分值为</w:t>
      </w:r>
      <w:r>
        <w:rPr>
          <w:rFonts w:hint="eastAsia" w:ascii="Times New Roman" w:hAnsi="Times New Roman" w:eastAsia="仿宋" w:cs="Times New Roman"/>
          <w:color w:val="auto"/>
          <w:szCs w:val="28"/>
          <w:lang w:val="en-US" w:eastAsia="zh-CN"/>
        </w:rPr>
        <w:t>0</w:t>
      </w:r>
      <w:r>
        <w:rPr>
          <w:rFonts w:hint="default" w:ascii="Times New Roman" w:hAnsi="Times New Roman" w:eastAsia="仿宋" w:cs="Times New Roman"/>
          <w:color w:val="auto"/>
          <w:szCs w:val="28"/>
        </w:rPr>
        <w:t>分。</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（2）水环境风险防控措施及突发水环境事件发生情况</w:t>
      </w:r>
    </w:p>
    <w:p>
      <w:pPr>
        <w:pStyle w:val="8"/>
        <w:spacing w:beforeLines="50" w:afterLines="50" w:line="240" w:lineRule="auto"/>
        <w:ind w:firstLine="560"/>
        <w:rPr>
          <w:rFonts w:ascii="Times New Roman" w:eastAsia="仿宋"/>
          <w:color w:val="auto"/>
          <w:szCs w:val="28"/>
        </w:rPr>
      </w:pPr>
      <w:r>
        <w:rPr>
          <w:rFonts w:hint="default" w:ascii="Times New Roman" w:hAnsi="Times New Roman" w:eastAsia="仿宋" w:cs="Times New Roman"/>
          <w:color w:val="auto"/>
          <w:szCs w:val="28"/>
        </w:rPr>
        <w:t>企业水环境风险防控措施及突发水环境事件发生情况</w:t>
      </w:r>
      <w:r>
        <w:rPr>
          <w:rFonts w:ascii="Times New Roman" w:eastAsia="仿宋"/>
          <w:color w:val="auto"/>
          <w:szCs w:val="28"/>
        </w:rPr>
        <w:t>评估指标见表6.3-2。对各项评估指标分别评分、计算总和，各项指标分值合计最高为70分。</w:t>
      </w:r>
    </w:p>
    <w:p>
      <w:pPr>
        <w:jc w:val="center"/>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表6.3-2  企业水环境风险防控措施与突发水环境事件发生情况评估</w:t>
      </w:r>
    </w:p>
    <w:p>
      <w:pPr>
        <w:pStyle w:val="3"/>
        <w:rPr>
          <w:rFonts w:hint="default"/>
          <w:color w:val="auto"/>
        </w:rPr>
      </w:pPr>
    </w:p>
    <w:tbl>
      <w:tblPr>
        <w:tblStyle w:val="21"/>
        <w:tblW w:w="859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17"/>
        <w:gridCol w:w="5103"/>
        <w:gridCol w:w="709"/>
        <w:gridCol w:w="709"/>
        <w:gridCol w:w="12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trPr>
        <w:tc>
          <w:tcPr>
            <w:tcW w:w="817" w:type="dxa"/>
            <w:vAlign w:val="center"/>
          </w:tcPr>
          <w:p>
            <w:pPr>
              <w:pStyle w:val="39"/>
              <w:spacing w:line="240" w:lineRule="auto"/>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评估指标</w:t>
            </w:r>
          </w:p>
        </w:tc>
        <w:tc>
          <w:tcPr>
            <w:tcW w:w="5103" w:type="dxa"/>
            <w:vAlign w:val="center"/>
          </w:tcPr>
          <w:p>
            <w:pPr>
              <w:pStyle w:val="39"/>
              <w:spacing w:line="240" w:lineRule="auto"/>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评估依据</w:t>
            </w:r>
          </w:p>
        </w:tc>
        <w:tc>
          <w:tcPr>
            <w:tcW w:w="709" w:type="dxa"/>
            <w:vAlign w:val="center"/>
          </w:tcPr>
          <w:p>
            <w:pPr>
              <w:pStyle w:val="39"/>
              <w:spacing w:line="240" w:lineRule="auto"/>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分值</w:t>
            </w:r>
          </w:p>
        </w:tc>
        <w:tc>
          <w:tcPr>
            <w:tcW w:w="709" w:type="dxa"/>
            <w:vAlign w:val="center"/>
          </w:tcPr>
          <w:p>
            <w:pPr>
              <w:pStyle w:val="39"/>
              <w:spacing w:line="240" w:lineRule="auto"/>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企业得分</w:t>
            </w:r>
          </w:p>
        </w:tc>
        <w:tc>
          <w:tcPr>
            <w:tcW w:w="1252" w:type="dxa"/>
            <w:vAlign w:val="center"/>
          </w:tcPr>
          <w:p>
            <w:pPr>
              <w:pStyle w:val="39"/>
              <w:spacing w:line="240" w:lineRule="auto"/>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restart"/>
            <w:vAlign w:val="center"/>
          </w:tcPr>
          <w:p>
            <w:pPr>
              <w:autoSpaceDE w:val="0"/>
              <w:autoSpaceDN w:val="0"/>
              <w:jc w:val="left"/>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截流措施</w:t>
            </w: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（1）环境风险单元设防渗漏、防腐蚀、防淋溶、防流失措施；且</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（2）装置围堰与罐区防火堤（围堰）外设排水切换阀，正常情况下通向雨水系统的阀门关闭，通向事故存液池、应急事故水池、清净废水排放缓冲池或污水处理系统的阀门打开；且</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（3）前述措施日常管理及维护良好，有专人负责阀门切换或设置自动切换设施，保证初期雨水、泄漏物和受污染的消防水排入污水系统</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709"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1252" w:type="dxa"/>
            <w:vMerge w:val="restart"/>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企业环境生产车间、罐区、污水处理站、危险化学品仓库均已按要求做好截流措施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有任意一个环境风险单元（包括可能发生液体泄漏或产生液体泄漏物的危险废物贮存场所）的截流措施不符合上述任意一条要求的</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709"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1252"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restart"/>
            <w:vAlign w:val="center"/>
          </w:tcPr>
          <w:p>
            <w:pPr>
              <w:autoSpaceDE w:val="0"/>
              <w:autoSpaceDN w:val="0"/>
              <w:jc w:val="left"/>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事故废水收集措施</w:t>
            </w: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（1）按相关设计规范设置应急事故水池、事故存液池或清净废水排放缓冲池等，故排水收集设施，并根据相关设计规范、下游环境风险受体敏感程度和易发生极端天气情况，设计事故排水收集设施的容量；且</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（2）确保事故排水收集设施在事故状态下能顺利收集泄漏物和消防水，日常保持足够的事故排水缓冲容量；且</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（3）通过协议单位或自建管线，能将所收集废水送至厂区内污水处理设施处理</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709"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1252"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企业已按相关设计规范设置初期雨水池</w:t>
            </w:r>
            <w:r>
              <w:rPr>
                <w:rFonts w:hint="eastAsia" w:ascii="Times New Roman" w:hAnsi="Times New Roman" w:eastAsia="仿宋" w:cs="Times New Roman"/>
                <w:color w:val="auto"/>
                <w:sz w:val="21"/>
                <w:szCs w:val="21"/>
                <w:lang w:val="en-US" w:eastAsia="zh-CN"/>
              </w:rPr>
              <w:t>200m</w:t>
            </w:r>
            <w:r>
              <w:rPr>
                <w:rFonts w:hint="eastAsia"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rPr>
              <w:t>和事故池 ，</w:t>
            </w:r>
            <w:r>
              <w:rPr>
                <w:rFonts w:hint="eastAsia"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200m</w:t>
            </w:r>
            <w:r>
              <w:rPr>
                <w:rFonts w:hint="default" w:ascii="Times New Roman" w:hAnsi="Times New Roman" w:eastAsia="仿宋" w:cs="Times New Roman"/>
                <w:color w:val="auto"/>
                <w:sz w:val="21"/>
                <w:szCs w:val="21"/>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有任意一个环境风险单元（包括可能发生液体泄漏或产生液体泄漏物的危险废物贮存场所）的事故排水收集措施不符合上述任意一条要求的</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709"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1252"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restart"/>
            <w:vAlign w:val="center"/>
          </w:tcPr>
          <w:p>
            <w:pPr>
              <w:autoSpaceDE w:val="0"/>
              <w:autoSpaceDN w:val="0"/>
              <w:jc w:val="left"/>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清净废水系统风险防控措施</w:t>
            </w: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（1）不涉及清净废水；或</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（2）厂区内清净废水均可排入废水处理系统；或清污分流，且清净废水系统具有下述所有措施：</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rPr>
              <w:t>①</w:t>
            </w:r>
            <w:r>
              <w:rPr>
                <w:rFonts w:hint="default" w:ascii="Times New Roman" w:hAnsi="Times New Roman" w:eastAsia="仿宋" w:cs="Times New Roman"/>
                <w:color w:val="auto"/>
                <w:sz w:val="21"/>
                <w:szCs w:val="21"/>
              </w:rPr>
              <w:t>具有收集受污染的清净废水的缓冲池（或收集池），池内日常保持足够的事故排水缓冲容量；池内设有提升设施或通过自流，能将所收集物送至厂区内污水处理设施处理；且</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rPr>
              <w:t>②</w:t>
            </w:r>
            <w:r>
              <w:rPr>
                <w:rFonts w:hint="default" w:ascii="Times New Roman" w:hAnsi="Times New Roman" w:eastAsia="仿宋" w:cs="Times New Roman"/>
                <w:color w:val="auto"/>
                <w:sz w:val="21"/>
                <w:szCs w:val="21"/>
              </w:rPr>
              <w:t>具有清净废水系统的总排口监视及关闭设施，有专人负责在紧急情况下关闭清净废水总排口，防止受污染的清净废水和泄漏物进入外环境</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709"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1252"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清净下水排入雨水管网，雨水管网总排口有监视及关闭设施，受污染的清净下水可排至事故池。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涉及清净废水，有任意一个环境风险单元的清净废水系统风险防控措施不符合上述（2）要求的</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709"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1252"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restart"/>
            <w:vAlign w:val="center"/>
          </w:tcPr>
          <w:p>
            <w:pPr>
              <w:autoSpaceDE w:val="0"/>
              <w:autoSpaceDN w:val="0"/>
              <w:jc w:val="left"/>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雨水排水系统风险防控措施</w:t>
            </w: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（1）厂区内雨水均进入废水处理系统；或雨污分流，且雨水排水系统具有下述所有措施：</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rPr>
              <w:t>①</w:t>
            </w:r>
            <w:r>
              <w:rPr>
                <w:rFonts w:hint="default" w:ascii="Times New Roman" w:hAnsi="Times New Roman" w:eastAsia="仿宋" w:cs="Times New Roman"/>
                <w:color w:val="auto"/>
                <w:sz w:val="21"/>
                <w:szCs w:val="21"/>
              </w:rPr>
              <w:t>具有收集初期雨水的收集池或雨水监控池；池出水管上设置切断阀，正常情况下阀门关闭，防止受污染的雨水外排；池内设有提升设施或通过自流，能将所收集物送至厂区内污水处理设施处理；</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rPr>
              <w:t>②</w:t>
            </w:r>
            <w:r>
              <w:rPr>
                <w:rFonts w:hint="default" w:ascii="Times New Roman" w:hAnsi="Times New Roman" w:eastAsia="仿宋" w:cs="Times New Roman"/>
                <w:color w:val="auto"/>
                <w:sz w:val="21"/>
                <w:szCs w:val="21"/>
              </w:rPr>
              <w:t>具有雨水系统总排口（含泄洪渠）监视及关闭设施，在紧急情况下有专人负责关闭雨水系统总排口（含与清净废水共用一套排水系统情况），防止雨水、消防水和泄漏物进入外环境</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（2）如果有排洪沟，排洪沟不得通过生产区和罐区，或具有防止泄漏物和受污染的消防水等流入区域排洪沟的措施</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709"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1252"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企业雨污分流，有独立的雨水排水系统，雨水管网总排口有监视及关闭设施。设有初期雨水池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不符合上述要求的</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709"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1252"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restart"/>
            <w:vAlign w:val="center"/>
          </w:tcPr>
          <w:p>
            <w:pPr>
              <w:autoSpaceDE w:val="0"/>
              <w:autoSpaceDN w:val="0"/>
              <w:jc w:val="left"/>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生产废水处理系统风险防控措施</w:t>
            </w: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（1）无生产废水产生或外排；或</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（2）有废水外排时：</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rPr>
              <w:t>①</w:t>
            </w:r>
            <w:r>
              <w:rPr>
                <w:rFonts w:hint="default" w:ascii="Times New Roman" w:hAnsi="Times New Roman" w:eastAsia="仿宋" w:cs="Times New Roman"/>
                <w:color w:val="auto"/>
                <w:sz w:val="21"/>
                <w:szCs w:val="21"/>
              </w:rPr>
              <w:t>受污染的循环冷却水、雨水、消防水等排入生产废水系统或独立处理系统；</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rPr>
              <w:t>②</w:t>
            </w:r>
            <w:r>
              <w:rPr>
                <w:rFonts w:hint="default" w:ascii="Times New Roman" w:hAnsi="Times New Roman" w:eastAsia="仿宋" w:cs="Times New Roman"/>
                <w:color w:val="auto"/>
                <w:sz w:val="21"/>
                <w:szCs w:val="21"/>
              </w:rPr>
              <w:t>生产废水排放前设监控池，能够将不合格废水送废水处理设施处理；</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rPr>
              <w:t>③</w:t>
            </w:r>
            <w:r>
              <w:rPr>
                <w:rFonts w:hint="default" w:ascii="Times New Roman" w:hAnsi="Times New Roman" w:eastAsia="仿宋" w:cs="Times New Roman"/>
                <w:color w:val="auto"/>
                <w:sz w:val="21"/>
                <w:szCs w:val="21"/>
              </w:rPr>
              <w:t>如企业受污染的清净废水或雨水进入废水处理系统处理，则废水处理系统应设置事故水缓冲设施；</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rPr>
              <w:t>④</w:t>
            </w:r>
            <w:r>
              <w:rPr>
                <w:rFonts w:hint="default" w:ascii="Times New Roman" w:hAnsi="Times New Roman" w:eastAsia="仿宋" w:cs="Times New Roman"/>
                <w:color w:val="auto"/>
                <w:sz w:val="21"/>
                <w:szCs w:val="21"/>
              </w:rPr>
              <w:t>具有生产废水总排口监视及关闭设施，有专人负责启闭，确保泄漏物、受污染的消防水、不合格废水不排出厂外</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709"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1252"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生产废水排至厂区污水处理站处理后外排，污水排口设置有关闭设施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涉及废水外排，且不符合上述（2）中任意一条要求</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709"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1252"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restart"/>
            <w:vAlign w:val="center"/>
          </w:tcPr>
          <w:p>
            <w:pPr>
              <w:autoSpaceDE w:val="0"/>
              <w:autoSpaceDN w:val="0"/>
              <w:jc w:val="left"/>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废水排放去向</w:t>
            </w: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无生产废水产生或外排</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709"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1252"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排入徐州工业园区污水处理厂进一步处理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continue"/>
            <w:vAlign w:val="center"/>
          </w:tcPr>
          <w:p>
            <w:pPr>
              <w:autoSpaceDE w:val="0"/>
              <w:autoSpaceDN w:val="0"/>
              <w:jc w:val="left"/>
              <w:rPr>
                <w:rFonts w:hint="default" w:ascii="Times New Roman" w:hAnsi="Times New Roman" w:eastAsia="仿宋" w:cs="Times New Roman"/>
                <w:color w:val="auto"/>
                <w:kern w:val="0"/>
                <w:sz w:val="21"/>
                <w:szCs w:val="21"/>
              </w:rPr>
            </w:pP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（1）依法获取污水排入排水管网许可，进入城镇污水处理厂；或</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（2）进入工业废水集中处理厂；或</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（3）进入其他单位</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709"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1252"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（1）直接进入海域或进入江、河、湖、库等水环境；或</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（2）进入城市下水道再入江、河、湖、库或再进入海域；或</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（3）未依法取得污水排入排水管网许可，进入城镇污水处理厂；或</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（4）直接进入污灌农田或蒸发地</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w:t>
            </w:r>
          </w:p>
        </w:tc>
        <w:tc>
          <w:tcPr>
            <w:tcW w:w="709"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1252"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restart"/>
            <w:vAlign w:val="center"/>
          </w:tcPr>
          <w:p>
            <w:pPr>
              <w:autoSpaceDE w:val="0"/>
              <w:autoSpaceDN w:val="0"/>
              <w:jc w:val="left"/>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厂内危险废物环境管理</w:t>
            </w: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（1）不涉及危险废物的；或</w:t>
            </w:r>
          </w:p>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（2）针对危险废物分区贮存、运输、利用、处置具有完善的专业设施和风险防控措施</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709"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1252"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厂区设有危险废物暂存库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不具备完善的危险废物贮存、运输、利用、处置设施和风险防控措施</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709"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1252"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restart"/>
            <w:vAlign w:val="center"/>
          </w:tcPr>
          <w:p>
            <w:pPr>
              <w:autoSpaceDE w:val="0"/>
              <w:autoSpaceDN w:val="0"/>
              <w:jc w:val="left"/>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近3年内突发水环境事件发生情况</w:t>
            </w: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发生过特别重大及重大等级突发水环境事件的</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709"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1252" w:type="dxa"/>
            <w:vMerge w:val="restar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尚未发生突发水环境事件的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continue"/>
            <w:vAlign w:val="center"/>
          </w:tcPr>
          <w:p>
            <w:pPr>
              <w:autoSpaceDE w:val="0"/>
              <w:autoSpaceDN w:val="0"/>
              <w:jc w:val="left"/>
              <w:rPr>
                <w:rFonts w:hint="default" w:ascii="Times New Roman" w:hAnsi="Times New Roman" w:eastAsia="仿宋" w:cs="Times New Roman"/>
                <w:color w:val="auto"/>
                <w:kern w:val="0"/>
                <w:sz w:val="21"/>
                <w:szCs w:val="21"/>
              </w:rPr>
            </w:pP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发生过较大等级突发水环境事件的</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709"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1252"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7" w:type="dxa"/>
            <w:vMerge w:val="continue"/>
            <w:vAlign w:val="center"/>
          </w:tcPr>
          <w:p>
            <w:pPr>
              <w:autoSpaceDE w:val="0"/>
              <w:autoSpaceDN w:val="0"/>
              <w:jc w:val="left"/>
              <w:rPr>
                <w:rFonts w:hint="default" w:ascii="Times New Roman" w:hAnsi="Times New Roman" w:eastAsia="仿宋" w:cs="Times New Roman"/>
                <w:color w:val="auto"/>
                <w:kern w:val="0"/>
                <w:sz w:val="21"/>
                <w:szCs w:val="21"/>
              </w:rPr>
            </w:pP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发生过一般等级突发水环境事件的</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709"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1252"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1" w:hRule="atLeast"/>
        </w:trPr>
        <w:tc>
          <w:tcPr>
            <w:tcW w:w="817"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5103" w:type="dxa"/>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未发生突发水环境事件的</w:t>
            </w:r>
          </w:p>
        </w:tc>
        <w:tc>
          <w:tcPr>
            <w:tcW w:w="709"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709"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c>
          <w:tcPr>
            <w:tcW w:w="1252" w:type="dxa"/>
            <w:vMerge w:val="continue"/>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590" w:type="dxa"/>
            <w:gridSpan w:val="5"/>
            <w:vAlign w:val="center"/>
          </w:tcPr>
          <w:p>
            <w:pPr>
              <w:pStyle w:val="39"/>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注：本表中相关规范具体指GB 50483、GB 50160、GB 50351、GB 50747、SH 3015</w:t>
            </w:r>
          </w:p>
        </w:tc>
      </w:tr>
    </w:tbl>
    <w:p>
      <w:pPr>
        <w:pStyle w:val="8"/>
        <w:spacing w:beforeLines="50" w:afterLines="50" w:line="240" w:lineRule="auto"/>
        <w:ind w:firstLine="560"/>
        <w:rPr>
          <w:rFonts w:ascii="Times New Roman" w:eastAsia="仿宋"/>
          <w:color w:val="auto"/>
          <w:szCs w:val="28"/>
        </w:rPr>
      </w:pPr>
      <w:r>
        <w:rPr>
          <w:rFonts w:hint="eastAsia" w:ascii="Times New Roman" w:eastAsia="仿宋"/>
          <w:color w:val="auto"/>
          <w:szCs w:val="28"/>
        </w:rPr>
        <w:t>江苏</w:t>
      </w:r>
      <w:r>
        <w:rPr>
          <w:rFonts w:hint="eastAsia" w:ascii="Times New Roman" w:eastAsia="仿宋"/>
          <w:color w:val="auto"/>
          <w:szCs w:val="28"/>
          <w:lang w:eastAsia="zh-CN"/>
        </w:rPr>
        <w:t>超力建材科技</w:t>
      </w:r>
      <w:r>
        <w:rPr>
          <w:rFonts w:hint="eastAsia" w:ascii="Times New Roman" w:eastAsia="仿宋"/>
          <w:color w:val="auto"/>
          <w:szCs w:val="28"/>
        </w:rPr>
        <w:t>有限公司</w:t>
      </w:r>
      <w:r>
        <w:rPr>
          <w:rFonts w:ascii="Times New Roman" w:eastAsia="仿宋"/>
          <w:color w:val="auto"/>
          <w:szCs w:val="28"/>
        </w:rPr>
        <w:t>水环境风险防控措施及突发水环境事件发生情况评估得分为</w:t>
      </w:r>
      <w:r>
        <w:rPr>
          <w:rFonts w:hint="eastAsia" w:ascii="Times New Roman" w:eastAsia="仿宋"/>
          <w:color w:val="auto"/>
          <w:szCs w:val="28"/>
          <w:lang w:val="en-US" w:eastAsia="zh-CN"/>
        </w:rPr>
        <w:t>6</w:t>
      </w:r>
      <w:r>
        <w:rPr>
          <w:rFonts w:ascii="Times New Roman" w:eastAsia="仿宋"/>
          <w:color w:val="auto"/>
          <w:szCs w:val="28"/>
        </w:rPr>
        <w:t>分。</w:t>
      </w:r>
    </w:p>
    <w:p>
      <w:pPr>
        <w:pStyle w:val="8"/>
        <w:spacing w:beforeLines="50" w:afterLines="50" w:line="240" w:lineRule="auto"/>
        <w:ind w:firstLine="560"/>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（3）企业生产工艺过程与水环境风险控制水平</w:t>
      </w:r>
    </w:p>
    <w:p>
      <w:pPr>
        <w:pStyle w:val="8"/>
        <w:spacing w:beforeLines="50" w:afterLines="50" w:line="240" w:lineRule="auto"/>
        <w:ind w:firstLine="560"/>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将企业生产工艺过程、水环境风险控制措施及突发水环境事件发生情况各项指标评估分值累加，得出生产工艺过程与水环境风险控制水平值，按照表6.3-3划分为4个类型。</w:t>
      </w:r>
    </w:p>
    <w:p>
      <w:pPr>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表6.3-3 企业生产工艺过程与环境风险控制水平类型划分</w:t>
      </w:r>
    </w:p>
    <w:tbl>
      <w:tblPr>
        <w:tblStyle w:val="21"/>
        <w:tblW w:w="852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64"/>
        <w:gridCol w:w="42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6" w:space="0"/>
            </w:tcBorders>
            <w:vAlign w:val="center"/>
          </w:tcPr>
          <w:p>
            <w:pPr>
              <w:pStyle w:val="39"/>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生产工艺过程与环境风险控制水平值</w:t>
            </w:r>
          </w:p>
        </w:tc>
        <w:tc>
          <w:tcPr>
            <w:tcW w:w="4264" w:type="dxa"/>
            <w:tcBorders>
              <w:bottom w:val="single" w:color="auto" w:sz="6" w:space="0"/>
            </w:tcBorders>
            <w:vAlign w:val="center"/>
          </w:tcPr>
          <w:p>
            <w:pPr>
              <w:pStyle w:val="39"/>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生产工艺过程与环境风险控制水平类型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tcBorders>
              <w:bottom w:val="single" w:color="auto" w:sz="6" w:space="0"/>
            </w:tcBorders>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 ＜ 25</w:t>
            </w:r>
          </w:p>
        </w:tc>
        <w:tc>
          <w:tcPr>
            <w:tcW w:w="4264" w:type="dxa"/>
            <w:tcBorders>
              <w:bottom w:val="single" w:color="auto" w:sz="6" w:space="0"/>
            </w:tcBorders>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25 ≤ M ＜ 45</w:t>
            </w:r>
          </w:p>
        </w:tc>
        <w:tc>
          <w:tcPr>
            <w:tcW w:w="4264"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45 ≤ M ＜ 65</w:t>
            </w:r>
          </w:p>
        </w:tc>
        <w:tc>
          <w:tcPr>
            <w:tcW w:w="4264"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264"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 ≥ 65</w:t>
            </w:r>
          </w:p>
        </w:tc>
        <w:tc>
          <w:tcPr>
            <w:tcW w:w="4264" w:type="dxa"/>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M4</w:t>
            </w:r>
          </w:p>
        </w:tc>
      </w:tr>
    </w:tbl>
    <w:p>
      <w:pPr>
        <w:pStyle w:val="8"/>
        <w:spacing w:beforeLines="50" w:afterLines="50" w:line="240" w:lineRule="auto"/>
        <w:ind w:firstLine="560"/>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由上述分析可知，</w:t>
      </w:r>
      <w:r>
        <w:rPr>
          <w:rFonts w:hint="eastAsia" w:ascii="Times New Roman" w:eastAsia="仿宋"/>
          <w:color w:val="auto"/>
          <w:szCs w:val="28"/>
        </w:rPr>
        <w:t>江苏</w:t>
      </w:r>
      <w:r>
        <w:rPr>
          <w:rFonts w:hint="eastAsia" w:ascii="Times New Roman" w:eastAsia="仿宋"/>
          <w:color w:val="auto"/>
          <w:szCs w:val="28"/>
          <w:lang w:eastAsia="zh-CN"/>
        </w:rPr>
        <w:t>超力建材科技</w:t>
      </w:r>
      <w:r>
        <w:rPr>
          <w:rFonts w:hint="eastAsia" w:ascii="Times New Roman" w:eastAsia="仿宋"/>
          <w:color w:val="auto"/>
          <w:szCs w:val="28"/>
        </w:rPr>
        <w:t>有限公司</w:t>
      </w:r>
      <w:r>
        <w:rPr>
          <w:rFonts w:hint="default" w:ascii="Times New Roman" w:hAnsi="Times New Roman" w:eastAsia="仿宋" w:cs="Times New Roman"/>
          <w:color w:val="auto"/>
          <w:szCs w:val="28"/>
        </w:rPr>
        <w:t>生产工艺过程与水环境风险控制水平M值得分为</w:t>
      </w:r>
      <w:r>
        <w:rPr>
          <w:rFonts w:hint="eastAsia" w:ascii="Times New Roman" w:hAnsi="Times New Roman" w:eastAsia="仿宋" w:cs="Times New Roman"/>
          <w:color w:val="auto"/>
          <w:szCs w:val="28"/>
          <w:lang w:val="en-US" w:eastAsia="zh-CN"/>
        </w:rPr>
        <w:t>6</w:t>
      </w:r>
      <w:r>
        <w:rPr>
          <w:rFonts w:hint="default" w:ascii="Times New Roman" w:hAnsi="Times New Roman" w:eastAsia="仿宋" w:cs="Times New Roman"/>
          <w:color w:val="auto"/>
          <w:szCs w:val="28"/>
        </w:rPr>
        <w:t>分，生产工艺过程与环境风险控制水平类型为M</w:t>
      </w:r>
      <w:r>
        <w:rPr>
          <w:rFonts w:hint="eastAsia" w:ascii="Times New Roman" w:hAnsi="Times New Roman" w:eastAsia="仿宋" w:cs="Times New Roman"/>
          <w:color w:val="auto"/>
          <w:szCs w:val="28"/>
          <w:lang w:val="en-US" w:eastAsia="zh-CN"/>
        </w:rPr>
        <w:t>1</w:t>
      </w:r>
      <w:r>
        <w:rPr>
          <w:rFonts w:hint="default" w:ascii="Times New Roman" w:hAnsi="Times New Roman" w:eastAsia="仿宋" w:cs="Times New Roman"/>
          <w:color w:val="auto"/>
          <w:szCs w:val="28"/>
        </w:rPr>
        <w:t>。</w:t>
      </w:r>
    </w:p>
    <w:p>
      <w:pPr>
        <w:pStyle w:val="8"/>
        <w:spacing w:beforeLines="50" w:afterLines="50" w:line="500" w:lineRule="exact"/>
        <w:ind w:firstLine="0" w:firstLineChars="0"/>
        <w:outlineLvl w:val="2"/>
        <w:rPr>
          <w:rFonts w:hint="eastAsia" w:ascii="Times New Roman" w:eastAsia="仿宋"/>
          <w:b/>
          <w:color w:val="auto"/>
          <w:szCs w:val="28"/>
        </w:rPr>
      </w:pPr>
      <w:bookmarkStart w:id="112" w:name="_Toc20432"/>
      <w:r>
        <w:rPr>
          <w:rFonts w:hint="eastAsia" w:ascii="Times New Roman" w:eastAsia="仿宋"/>
          <w:b/>
          <w:color w:val="auto"/>
          <w:szCs w:val="28"/>
        </w:rPr>
        <w:t>6.3.3水环境风险受体敏感程度（E）</w:t>
      </w:r>
      <w:bookmarkEnd w:id="112"/>
    </w:p>
    <w:p>
      <w:pPr>
        <w:pStyle w:val="8"/>
        <w:spacing w:beforeLines="50" w:afterLines="50" w:line="240" w:lineRule="auto"/>
        <w:ind w:firstLine="560"/>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根据《企业突发环境事件风险分级方法》，按照水环境风险受体敏感程度，同时考虑河流跨界的情况和可能造成土壤污染的情况，将水环境风险受体敏感程度类型划分为类型1、类型2 和类型3，分别以E1、E2 和E3 表示，见表</w:t>
      </w:r>
      <w:r>
        <w:rPr>
          <w:rFonts w:hint="eastAsia" w:ascii="Times New Roman" w:hAnsi="Times New Roman" w:eastAsia="仿宋" w:cs="Times New Roman"/>
          <w:color w:val="auto"/>
          <w:szCs w:val="28"/>
        </w:rPr>
        <w:t>6.3</w:t>
      </w:r>
      <w:r>
        <w:rPr>
          <w:rFonts w:hint="default" w:ascii="Times New Roman" w:hAnsi="Times New Roman" w:eastAsia="仿宋" w:cs="Times New Roman"/>
          <w:color w:val="auto"/>
          <w:szCs w:val="28"/>
        </w:rPr>
        <w:t>-</w:t>
      </w:r>
      <w:r>
        <w:rPr>
          <w:rFonts w:hint="eastAsia" w:ascii="Times New Roman" w:hAnsi="Times New Roman" w:eastAsia="仿宋" w:cs="Times New Roman"/>
          <w:color w:val="auto"/>
          <w:szCs w:val="28"/>
        </w:rPr>
        <w:t>4</w:t>
      </w:r>
      <w:r>
        <w:rPr>
          <w:rFonts w:hint="default" w:ascii="Times New Roman" w:hAnsi="Times New Roman" w:eastAsia="仿宋" w:cs="Times New Roman"/>
          <w:color w:val="auto"/>
          <w:szCs w:val="28"/>
        </w:rPr>
        <w:t>。</w:t>
      </w:r>
    </w:p>
    <w:p>
      <w:pPr>
        <w:pStyle w:val="8"/>
        <w:spacing w:beforeLines="50" w:afterLines="50" w:line="240" w:lineRule="auto"/>
        <w:ind w:firstLine="560"/>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水环境风险受体敏感程度按类型1、类型2 和类型3 顺序依次降低。若企业周边存在多种敏感程度类型的水环境风险受体，则按敏感程度高者确定企业水环境风险受体敏感程度类型。</w:t>
      </w:r>
    </w:p>
    <w:p>
      <w:pPr>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表6.3-4 水环境风险受体敏感程度类型划分</w:t>
      </w:r>
    </w:p>
    <w:tbl>
      <w:tblPr>
        <w:tblStyle w:val="21"/>
        <w:tblW w:w="861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26"/>
        <w:gridCol w:w="5812"/>
        <w:gridCol w:w="1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trPr>
        <w:tc>
          <w:tcPr>
            <w:tcW w:w="1526" w:type="dxa"/>
            <w:vAlign w:val="center"/>
          </w:tcPr>
          <w:p>
            <w:pPr>
              <w:pStyle w:val="39"/>
              <w:spacing w:line="240" w:lineRule="auto"/>
              <w:ind w:firstLine="0" w:firstLineChars="0"/>
              <w:jc w:val="center"/>
              <w:rPr>
                <w:rFonts w:hint="default" w:ascii="Times New Roman" w:hAnsi="Times New Roman" w:eastAsia="仿宋" w:cs="Times New Roman"/>
                <w:b/>
                <w:bCs w:val="0"/>
                <w:color w:val="auto"/>
                <w:sz w:val="21"/>
                <w:szCs w:val="21"/>
              </w:rPr>
            </w:pPr>
            <w:r>
              <w:rPr>
                <w:rFonts w:hint="default" w:ascii="Times New Roman" w:hAnsi="Times New Roman" w:eastAsia="仿宋" w:cs="Times New Roman"/>
                <w:b/>
                <w:bCs w:val="0"/>
                <w:color w:val="auto"/>
                <w:sz w:val="21"/>
                <w:szCs w:val="21"/>
              </w:rPr>
              <w:t>敏感程度类型</w:t>
            </w:r>
          </w:p>
        </w:tc>
        <w:tc>
          <w:tcPr>
            <w:tcW w:w="5812" w:type="dxa"/>
            <w:vAlign w:val="center"/>
          </w:tcPr>
          <w:p>
            <w:pPr>
              <w:pStyle w:val="39"/>
              <w:spacing w:line="240" w:lineRule="auto"/>
              <w:ind w:firstLine="0" w:firstLineChars="0"/>
              <w:jc w:val="center"/>
              <w:rPr>
                <w:rFonts w:hint="default" w:ascii="Times New Roman" w:hAnsi="Times New Roman" w:eastAsia="仿宋" w:cs="Times New Roman"/>
                <w:b/>
                <w:bCs w:val="0"/>
                <w:color w:val="auto"/>
                <w:sz w:val="21"/>
                <w:szCs w:val="21"/>
              </w:rPr>
            </w:pPr>
            <w:r>
              <w:rPr>
                <w:rFonts w:hint="default" w:ascii="Times New Roman" w:hAnsi="Times New Roman" w:eastAsia="仿宋" w:cs="Times New Roman"/>
                <w:b/>
                <w:bCs w:val="0"/>
                <w:color w:val="auto"/>
                <w:sz w:val="21"/>
                <w:szCs w:val="21"/>
              </w:rPr>
              <w:t>水环境风险受体</w:t>
            </w:r>
          </w:p>
        </w:tc>
        <w:tc>
          <w:tcPr>
            <w:tcW w:w="1275" w:type="dxa"/>
            <w:vAlign w:val="center"/>
          </w:tcPr>
          <w:p>
            <w:pPr>
              <w:pStyle w:val="39"/>
              <w:spacing w:line="240" w:lineRule="auto"/>
              <w:ind w:firstLine="0" w:firstLineChars="0"/>
              <w:jc w:val="center"/>
              <w:rPr>
                <w:rFonts w:hint="default" w:ascii="Times New Roman" w:hAnsi="Times New Roman" w:eastAsia="仿宋" w:cs="Times New Roman"/>
                <w:b/>
                <w:bCs w:val="0"/>
                <w:color w:val="auto"/>
                <w:sz w:val="21"/>
                <w:szCs w:val="21"/>
              </w:rPr>
            </w:pPr>
            <w:r>
              <w:rPr>
                <w:rFonts w:hint="default" w:ascii="Times New Roman" w:hAnsi="Times New Roman" w:eastAsia="仿宋" w:cs="Times New Roman"/>
                <w:b/>
                <w:bCs w:val="0"/>
                <w:color w:val="auto"/>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526" w:type="dxa"/>
            <w:vAlign w:val="center"/>
          </w:tcPr>
          <w:p>
            <w:pPr>
              <w:pStyle w:val="39"/>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类型1（E1）</w:t>
            </w:r>
          </w:p>
        </w:tc>
        <w:tc>
          <w:tcPr>
            <w:tcW w:w="5812" w:type="dxa"/>
            <w:vAlign w:val="center"/>
          </w:tcPr>
          <w:p>
            <w:pPr>
              <w:pStyle w:val="39"/>
              <w:spacing w:line="240" w:lineRule="auto"/>
              <w:ind w:firstLine="0" w:firstLineChars="0"/>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企业雨水排口、清净废水排口、污水排口下游10公里流经范围内有如下一类或多类环境风险受体：集中式地表水、地下水饮用水水源保护区（包括一级保护区、二级保护区及准保护区）；农村及分散式饮用水水源保护区；</w:t>
            </w:r>
          </w:p>
          <w:p>
            <w:pPr>
              <w:pStyle w:val="39"/>
              <w:spacing w:line="240" w:lineRule="auto"/>
              <w:ind w:firstLine="0" w:firstLineChars="0"/>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（2）废水排入受纳水体后24小时流经范围（按受纳河流最大日均流速计算）内涉及跨国界的</w:t>
            </w:r>
          </w:p>
        </w:tc>
        <w:tc>
          <w:tcPr>
            <w:tcW w:w="1275" w:type="dxa"/>
            <w:vAlign w:val="center"/>
          </w:tcPr>
          <w:p>
            <w:pPr>
              <w:pStyle w:val="39"/>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不涉及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526" w:type="dxa"/>
            <w:vAlign w:val="center"/>
          </w:tcPr>
          <w:p>
            <w:pPr>
              <w:pStyle w:val="39"/>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类型2（E2）</w:t>
            </w:r>
          </w:p>
        </w:tc>
        <w:tc>
          <w:tcPr>
            <w:tcW w:w="5812" w:type="dxa"/>
            <w:vAlign w:val="center"/>
          </w:tcPr>
          <w:p>
            <w:pPr>
              <w:pStyle w:val="39"/>
              <w:spacing w:line="240" w:lineRule="auto"/>
              <w:ind w:firstLine="0" w:firstLineChars="0"/>
              <w:jc w:val="both"/>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企业雨水排口、清净废水排口、污水排口下游10公里流经范围内有生态保护红线划定的或具有水生态服务功能的其他水生态环境敏感区和脆弱区，如国家公园，国家级和省级水产种质资源保护区，水产养殖区，天然渔场，海水浴场，盐场保护区，国家重要湿地，国家级和地方级海洋特别保护区，国家级和地方级海洋自然保护区，生物多样性保护优先区域，国家级和地方级自然保护区，国家级和省级风景名胜区，世界文化和自然遗产地，国家级和省级森林公园，世界、国家和省级地质公园，基本农田保护区，基本草原；</w:t>
            </w:r>
          </w:p>
          <w:p>
            <w:pPr>
              <w:pStyle w:val="39"/>
              <w:spacing w:line="240" w:lineRule="auto"/>
              <w:ind w:firstLine="0" w:firstLineChars="0"/>
              <w:jc w:val="both"/>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（2）企业雨水排口、清净废水排口、污水排口下游10公里流经范围内涉及跨省界的；</w:t>
            </w:r>
          </w:p>
          <w:p>
            <w:pPr>
              <w:pStyle w:val="39"/>
              <w:spacing w:line="240" w:lineRule="auto"/>
              <w:ind w:firstLine="0" w:firstLineChars="0"/>
              <w:jc w:val="both"/>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（3）企业位于溶岩地貌、泄洪区、泥石流多发等地区</w:t>
            </w:r>
          </w:p>
        </w:tc>
        <w:tc>
          <w:tcPr>
            <w:tcW w:w="1275" w:type="dxa"/>
            <w:vAlign w:val="center"/>
          </w:tcPr>
          <w:p>
            <w:pPr>
              <w:pStyle w:val="39"/>
              <w:spacing w:line="240" w:lineRule="auto"/>
              <w:ind w:firstLine="0" w:firstLineChars="0"/>
              <w:jc w:val="both"/>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企业雨水排口、污水排口下游10公里流经范围内有基本农田保护</w:t>
            </w:r>
            <w:r>
              <w:rPr>
                <w:rFonts w:hint="default" w:ascii="Times New Roman" w:hAnsi="Times New Roman" w:eastAsia="仿宋" w:cs="Times New Roman"/>
                <w:bCs/>
                <w:color w:val="auto"/>
                <w:sz w:val="21"/>
                <w:szCs w:val="21"/>
                <w:lang w:eastAsia="zh-CN"/>
              </w:rPr>
              <w:t>区</w:t>
            </w:r>
            <w:r>
              <w:rPr>
                <w:rFonts w:hint="default" w:ascii="Times New Roman" w:hAnsi="Times New Roman" w:eastAsia="仿宋" w:cs="Times New Roman"/>
                <w:bCs/>
                <w:color w:val="auto"/>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526" w:type="dxa"/>
            <w:vAlign w:val="center"/>
          </w:tcPr>
          <w:p>
            <w:pPr>
              <w:pStyle w:val="39"/>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类型（E3）</w:t>
            </w:r>
          </w:p>
        </w:tc>
        <w:tc>
          <w:tcPr>
            <w:tcW w:w="5812" w:type="dxa"/>
            <w:vAlign w:val="center"/>
          </w:tcPr>
          <w:p>
            <w:pPr>
              <w:pStyle w:val="39"/>
              <w:spacing w:line="240" w:lineRule="auto"/>
              <w:ind w:firstLine="0" w:firstLineChars="0"/>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不涉及类型1和类型2情况的</w:t>
            </w:r>
          </w:p>
        </w:tc>
        <w:tc>
          <w:tcPr>
            <w:tcW w:w="1275" w:type="dxa"/>
            <w:vAlign w:val="center"/>
          </w:tcPr>
          <w:p>
            <w:pPr>
              <w:pStyle w:val="39"/>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613" w:type="dxa"/>
            <w:gridSpan w:val="3"/>
            <w:vAlign w:val="center"/>
          </w:tcPr>
          <w:p>
            <w:pPr>
              <w:pStyle w:val="39"/>
              <w:spacing w:line="240" w:lineRule="auto"/>
              <w:ind w:firstLine="0" w:firstLineChars="0"/>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注：本表中规定的距离范围以到各类水环境保护目标或保护区域的边界为准</w:t>
            </w:r>
          </w:p>
        </w:tc>
      </w:tr>
    </w:tbl>
    <w:p>
      <w:pPr>
        <w:pStyle w:val="8"/>
        <w:spacing w:beforeLines="50" w:afterLines="50" w:line="240" w:lineRule="auto"/>
        <w:ind w:firstLine="560"/>
        <w:rPr>
          <w:rFonts w:hint="default" w:ascii="Times New Roman" w:hAnsi="Times New Roman" w:eastAsia="仿宋" w:cs="Times New Roman"/>
          <w:color w:val="auto"/>
          <w:szCs w:val="28"/>
        </w:rPr>
      </w:pPr>
      <w:r>
        <w:rPr>
          <w:rFonts w:hint="eastAsia" w:ascii="Times New Roman" w:hAnsi="Times New Roman" w:eastAsia="仿宋" w:cs="Times New Roman"/>
          <w:color w:val="auto"/>
          <w:szCs w:val="28"/>
          <w:lang w:eastAsia="zh-CN"/>
        </w:rPr>
        <w:t>江苏超力建材科技有限公司</w:t>
      </w:r>
      <w:r>
        <w:rPr>
          <w:rFonts w:hint="default" w:ascii="Times New Roman" w:hAnsi="Times New Roman" w:eastAsia="仿宋" w:cs="Times New Roman"/>
          <w:color w:val="auto"/>
          <w:szCs w:val="28"/>
        </w:rPr>
        <w:t>水环境风险受体敏感程度为类型2（E2）。</w:t>
      </w:r>
    </w:p>
    <w:p>
      <w:pPr>
        <w:pStyle w:val="8"/>
        <w:spacing w:beforeLines="50" w:afterLines="50" w:line="500" w:lineRule="exact"/>
        <w:ind w:firstLine="0" w:firstLineChars="0"/>
        <w:outlineLvl w:val="2"/>
        <w:rPr>
          <w:rFonts w:hint="eastAsia" w:ascii="Times New Roman" w:eastAsia="仿宋"/>
          <w:b/>
          <w:color w:val="auto"/>
          <w:szCs w:val="28"/>
        </w:rPr>
      </w:pPr>
      <w:bookmarkStart w:id="113" w:name="_Toc11970"/>
      <w:r>
        <w:rPr>
          <w:rFonts w:hint="eastAsia" w:ascii="Times New Roman" w:eastAsia="仿宋"/>
          <w:b/>
          <w:color w:val="auto"/>
          <w:szCs w:val="28"/>
        </w:rPr>
        <w:t>6.3.4突发水环境事件风险等级确定</w:t>
      </w:r>
      <w:bookmarkEnd w:id="113"/>
    </w:p>
    <w:p>
      <w:pPr>
        <w:pStyle w:val="8"/>
        <w:spacing w:beforeLines="50" w:afterLines="50" w:line="360" w:lineRule="auto"/>
        <w:ind w:firstLine="560"/>
        <w:rPr>
          <w:rFonts w:ascii="Times New Roman" w:eastAsia="仿宋"/>
          <w:color w:val="auto"/>
          <w:szCs w:val="28"/>
        </w:rPr>
      </w:pPr>
      <w:r>
        <w:rPr>
          <w:rFonts w:ascii="Times New Roman" w:eastAsia="仿宋"/>
          <w:color w:val="auto"/>
          <w:szCs w:val="28"/>
        </w:rPr>
        <w:t>根据企业周边水环境风险受体敏感程度（E）、涉水风险物质数量与临界量比值（Q）和生产工艺过程与水环境风险控制水平（M），按照表</w:t>
      </w:r>
      <w:r>
        <w:rPr>
          <w:rFonts w:hint="eastAsia" w:ascii="Times New Roman" w:eastAsia="仿宋"/>
          <w:color w:val="auto"/>
          <w:szCs w:val="28"/>
          <w:lang w:val="en-US" w:eastAsia="zh-CN"/>
        </w:rPr>
        <w:t>6</w:t>
      </w:r>
      <w:r>
        <w:rPr>
          <w:rFonts w:ascii="Times New Roman" w:eastAsia="仿宋"/>
          <w:color w:val="auto"/>
          <w:szCs w:val="28"/>
        </w:rPr>
        <w:t>.</w:t>
      </w:r>
      <w:r>
        <w:rPr>
          <w:rFonts w:hint="eastAsia" w:ascii="Times New Roman" w:eastAsia="仿宋"/>
          <w:color w:val="auto"/>
          <w:szCs w:val="28"/>
          <w:lang w:val="en-US" w:eastAsia="zh-CN"/>
        </w:rPr>
        <w:t>3</w:t>
      </w:r>
      <w:r>
        <w:rPr>
          <w:rFonts w:ascii="Times New Roman" w:eastAsia="仿宋"/>
          <w:color w:val="auto"/>
          <w:szCs w:val="28"/>
        </w:rPr>
        <w:t>-</w:t>
      </w:r>
      <w:r>
        <w:rPr>
          <w:rFonts w:hint="eastAsia" w:ascii="Times New Roman" w:eastAsia="仿宋"/>
          <w:color w:val="auto"/>
          <w:szCs w:val="28"/>
          <w:lang w:val="en-US" w:eastAsia="zh-CN"/>
        </w:rPr>
        <w:t>5</w:t>
      </w:r>
      <w:r>
        <w:rPr>
          <w:rFonts w:ascii="Times New Roman" w:eastAsia="仿宋"/>
          <w:color w:val="auto"/>
          <w:szCs w:val="28"/>
        </w:rPr>
        <w:t>确定企业突发大气环境事件风险等级。</w:t>
      </w:r>
    </w:p>
    <w:p>
      <w:pPr>
        <w:pStyle w:val="8"/>
        <w:spacing w:beforeLines="50" w:afterLines="50" w:line="360" w:lineRule="auto"/>
        <w:ind w:firstLine="560"/>
        <w:rPr>
          <w:rFonts w:ascii="Times New Roman" w:eastAsia="仿宋"/>
          <w:color w:val="auto"/>
          <w:szCs w:val="28"/>
        </w:rPr>
      </w:pPr>
      <w:r>
        <w:rPr>
          <w:rFonts w:ascii="Times New Roman" w:eastAsia="仿宋"/>
          <w:color w:val="auto"/>
          <w:szCs w:val="28"/>
        </w:rPr>
        <w:t>根据调查分析，企业环境风险物质最大存在总量与临界量比值Q=</w:t>
      </w:r>
      <w:r>
        <w:rPr>
          <w:rFonts w:hint="eastAsia" w:ascii="Times New Roman" w:eastAsia="仿宋"/>
          <w:color w:val="auto"/>
          <w:szCs w:val="28"/>
          <w:lang w:val="en-US" w:eastAsia="zh-CN"/>
        </w:rPr>
        <w:t>4.515</w:t>
      </w:r>
      <w:r>
        <w:rPr>
          <w:rFonts w:ascii="Times New Roman" w:eastAsia="仿宋"/>
          <w:color w:val="auto"/>
          <w:szCs w:val="28"/>
        </w:rPr>
        <w:t>（Q</w:t>
      </w:r>
      <w:r>
        <w:rPr>
          <w:rFonts w:hint="eastAsia" w:ascii="Times New Roman" w:eastAsia="仿宋"/>
          <w:color w:val="auto"/>
          <w:szCs w:val="28"/>
          <w:lang w:val="en-US" w:eastAsia="zh-CN"/>
        </w:rPr>
        <w:t>1</w:t>
      </w:r>
      <w:r>
        <w:rPr>
          <w:rFonts w:ascii="Times New Roman" w:eastAsia="仿宋"/>
          <w:color w:val="auto"/>
          <w:szCs w:val="28"/>
        </w:rPr>
        <w:t>）、企业环境风险及其控制水平M=</w:t>
      </w:r>
      <w:r>
        <w:rPr>
          <w:rFonts w:hint="eastAsia" w:ascii="Times New Roman" w:eastAsia="仿宋"/>
          <w:color w:val="auto"/>
          <w:szCs w:val="28"/>
          <w:lang w:val="en-US" w:eastAsia="zh-CN"/>
        </w:rPr>
        <w:t>6</w:t>
      </w:r>
      <w:r>
        <w:rPr>
          <w:rFonts w:ascii="Times New Roman" w:eastAsia="仿宋"/>
          <w:color w:val="auto"/>
          <w:szCs w:val="28"/>
        </w:rPr>
        <w:t>（M</w:t>
      </w:r>
      <w:r>
        <w:rPr>
          <w:rFonts w:hint="eastAsia" w:ascii="Times New Roman" w:eastAsia="仿宋"/>
          <w:color w:val="auto"/>
          <w:szCs w:val="28"/>
          <w:lang w:val="en-US" w:eastAsia="zh-CN"/>
        </w:rPr>
        <w:t>1</w:t>
      </w:r>
      <w:r>
        <w:rPr>
          <w:rFonts w:ascii="Times New Roman" w:eastAsia="仿宋"/>
          <w:color w:val="auto"/>
          <w:szCs w:val="28"/>
        </w:rPr>
        <w:t>类水平），公司周边的水环境风险受体类型为类型</w:t>
      </w:r>
      <w:r>
        <w:rPr>
          <w:rFonts w:hint="eastAsia" w:ascii="Times New Roman" w:eastAsia="仿宋"/>
          <w:color w:val="auto"/>
          <w:szCs w:val="28"/>
        </w:rPr>
        <w:t>2</w:t>
      </w:r>
      <w:r>
        <w:rPr>
          <w:rFonts w:ascii="Times New Roman" w:eastAsia="仿宋"/>
          <w:color w:val="auto"/>
          <w:szCs w:val="28"/>
        </w:rPr>
        <w:t>（E</w:t>
      </w:r>
      <w:r>
        <w:rPr>
          <w:rFonts w:hint="eastAsia" w:ascii="Times New Roman" w:eastAsia="仿宋"/>
          <w:color w:val="auto"/>
          <w:szCs w:val="28"/>
        </w:rPr>
        <w:t>2</w:t>
      </w:r>
      <w:r>
        <w:rPr>
          <w:rFonts w:ascii="Times New Roman" w:eastAsia="仿宋"/>
          <w:color w:val="auto"/>
          <w:szCs w:val="28"/>
        </w:rPr>
        <w:t>）。</w:t>
      </w:r>
    </w:p>
    <w:p>
      <w:pPr>
        <w:jc w:val="center"/>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表</w:t>
      </w:r>
      <w:r>
        <w:rPr>
          <w:rFonts w:hint="eastAsia" w:ascii="Times New Roman" w:hAnsi="Times New Roman" w:eastAsia="仿宋" w:cs="Times New Roman"/>
          <w:b w:val="0"/>
          <w:bCs w:val="0"/>
          <w:color w:val="auto"/>
          <w:sz w:val="24"/>
          <w:szCs w:val="24"/>
          <w:lang w:val="en-US" w:eastAsia="zh-CN"/>
        </w:rPr>
        <w:t>6</w:t>
      </w:r>
      <w:r>
        <w:rPr>
          <w:rFonts w:hint="default" w:ascii="Times New Roman" w:hAnsi="Times New Roman" w:eastAsia="仿宋" w:cs="Times New Roman"/>
          <w:b w:val="0"/>
          <w:bCs w:val="0"/>
          <w:color w:val="auto"/>
          <w:sz w:val="24"/>
          <w:szCs w:val="24"/>
        </w:rPr>
        <w:t>.</w:t>
      </w:r>
      <w:r>
        <w:rPr>
          <w:rFonts w:hint="eastAsia" w:ascii="Times New Roman" w:hAnsi="Times New Roman" w:eastAsia="仿宋" w:cs="Times New Roman"/>
          <w:b w:val="0"/>
          <w:bCs w:val="0"/>
          <w:color w:val="auto"/>
          <w:sz w:val="24"/>
          <w:szCs w:val="24"/>
          <w:lang w:val="en-US" w:eastAsia="zh-CN"/>
        </w:rPr>
        <w:t>3</w:t>
      </w:r>
      <w:r>
        <w:rPr>
          <w:rFonts w:hint="default" w:ascii="Times New Roman" w:hAnsi="Times New Roman" w:eastAsia="仿宋" w:cs="Times New Roman"/>
          <w:b w:val="0"/>
          <w:bCs w:val="0"/>
          <w:color w:val="auto"/>
          <w:sz w:val="24"/>
          <w:szCs w:val="24"/>
        </w:rPr>
        <w:t>-</w:t>
      </w:r>
      <w:r>
        <w:rPr>
          <w:rFonts w:hint="eastAsia" w:ascii="Times New Roman" w:hAnsi="Times New Roman" w:eastAsia="仿宋" w:cs="Times New Roman"/>
          <w:b w:val="0"/>
          <w:bCs w:val="0"/>
          <w:color w:val="auto"/>
          <w:sz w:val="24"/>
          <w:szCs w:val="24"/>
          <w:lang w:val="en-US" w:eastAsia="zh-CN"/>
        </w:rPr>
        <w:t>5</w:t>
      </w:r>
      <w:r>
        <w:rPr>
          <w:rFonts w:hint="default" w:ascii="Times New Roman" w:hAnsi="Times New Roman" w:eastAsia="仿宋" w:cs="Times New Roman"/>
          <w:b w:val="0"/>
          <w:bCs w:val="0"/>
          <w:color w:val="auto"/>
          <w:sz w:val="24"/>
          <w:szCs w:val="24"/>
        </w:rPr>
        <w:t xml:space="preserve">  企业突发</w:t>
      </w:r>
      <w:r>
        <w:rPr>
          <w:rFonts w:hint="eastAsia" w:ascii="Times New Roman" w:hAnsi="Times New Roman" w:eastAsia="仿宋" w:cs="Times New Roman"/>
          <w:b w:val="0"/>
          <w:bCs w:val="0"/>
          <w:color w:val="auto"/>
          <w:sz w:val="24"/>
          <w:szCs w:val="24"/>
          <w:lang w:eastAsia="zh-CN"/>
        </w:rPr>
        <w:t>水</w:t>
      </w:r>
      <w:r>
        <w:rPr>
          <w:rFonts w:hint="default" w:ascii="Times New Roman" w:hAnsi="Times New Roman" w:eastAsia="仿宋" w:cs="Times New Roman"/>
          <w:b w:val="0"/>
          <w:bCs w:val="0"/>
          <w:color w:val="auto"/>
          <w:sz w:val="24"/>
          <w:szCs w:val="24"/>
        </w:rPr>
        <w:t>环境事件风险分级矩阵表</w:t>
      </w:r>
    </w:p>
    <w:tbl>
      <w:tblPr>
        <w:tblStyle w:val="21"/>
        <w:tblW w:w="894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668"/>
        <w:gridCol w:w="2126"/>
        <w:gridCol w:w="1242"/>
        <w:gridCol w:w="1304"/>
        <w:gridCol w:w="1303"/>
        <w:gridCol w:w="13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1668" w:type="dxa"/>
            <w:vMerge w:val="restart"/>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环境风险受体敏感程度（E）</w:t>
            </w:r>
          </w:p>
        </w:tc>
        <w:tc>
          <w:tcPr>
            <w:tcW w:w="2126" w:type="dxa"/>
            <w:vMerge w:val="restart"/>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风险物质数量与临界</w:t>
            </w:r>
          </w:p>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量比值（Q）</w:t>
            </w:r>
          </w:p>
        </w:tc>
        <w:tc>
          <w:tcPr>
            <w:tcW w:w="5153" w:type="dxa"/>
            <w:gridSpan w:val="4"/>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生产工艺过程与环境风险控制水平（M）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68" w:type="dxa"/>
            <w:vMerge w:val="continue"/>
            <w:shd w:val="clear" w:color="auto" w:fill="auto"/>
            <w:vAlign w:val="center"/>
          </w:tcPr>
          <w:p>
            <w:pPr>
              <w:jc w:val="center"/>
              <w:rPr>
                <w:rFonts w:hint="default" w:ascii="Times New Roman" w:hAnsi="Times New Roman" w:eastAsia="仿宋" w:cs="Times New Roman"/>
                <w:bCs/>
                <w:color w:val="auto"/>
                <w:sz w:val="21"/>
                <w:szCs w:val="21"/>
              </w:rPr>
            </w:pPr>
          </w:p>
        </w:tc>
        <w:tc>
          <w:tcPr>
            <w:tcW w:w="2126" w:type="dxa"/>
            <w:vMerge w:val="continue"/>
            <w:shd w:val="clear" w:color="auto" w:fill="auto"/>
            <w:vAlign w:val="center"/>
          </w:tcPr>
          <w:p>
            <w:pPr>
              <w:jc w:val="center"/>
              <w:rPr>
                <w:rFonts w:hint="default" w:ascii="Times New Roman" w:hAnsi="Times New Roman" w:eastAsia="仿宋" w:cs="Times New Roman"/>
                <w:bCs/>
                <w:color w:val="auto"/>
                <w:sz w:val="21"/>
                <w:szCs w:val="21"/>
              </w:rPr>
            </w:pPr>
          </w:p>
        </w:tc>
        <w:tc>
          <w:tcPr>
            <w:tcW w:w="1242"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M1类水平</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M2类水平</w:t>
            </w:r>
          </w:p>
        </w:tc>
        <w:tc>
          <w:tcPr>
            <w:tcW w:w="1303"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M3类水平</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M4类水平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68" w:type="dxa"/>
            <w:vMerge w:val="restart"/>
            <w:shd w:val="clear" w:color="auto" w:fill="auto"/>
            <w:vAlign w:val="center"/>
          </w:tcPr>
          <w:p>
            <w:pPr>
              <w:pStyle w:val="39"/>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类型1（E1）</w:t>
            </w:r>
          </w:p>
        </w:tc>
        <w:tc>
          <w:tcPr>
            <w:tcW w:w="2126"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1≤Q＜10（Q1）</w:t>
            </w:r>
          </w:p>
        </w:tc>
        <w:tc>
          <w:tcPr>
            <w:tcW w:w="1242"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303"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68" w:type="dxa"/>
            <w:vMerge w:val="continue"/>
            <w:shd w:val="clear" w:color="auto" w:fill="auto"/>
            <w:vAlign w:val="center"/>
          </w:tcPr>
          <w:p>
            <w:pPr>
              <w:jc w:val="center"/>
              <w:rPr>
                <w:rFonts w:hint="default" w:ascii="Times New Roman" w:hAnsi="Times New Roman" w:eastAsia="仿宋" w:cs="Times New Roman"/>
                <w:bCs/>
                <w:color w:val="auto"/>
                <w:sz w:val="21"/>
                <w:szCs w:val="21"/>
              </w:rPr>
            </w:pPr>
          </w:p>
        </w:tc>
        <w:tc>
          <w:tcPr>
            <w:tcW w:w="2126"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10≤ Q＜100（Q2）</w:t>
            </w:r>
          </w:p>
        </w:tc>
        <w:tc>
          <w:tcPr>
            <w:tcW w:w="1242"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303"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68" w:type="dxa"/>
            <w:vMerge w:val="continue"/>
            <w:shd w:val="clear" w:color="auto" w:fill="auto"/>
            <w:vAlign w:val="center"/>
          </w:tcPr>
          <w:p>
            <w:pPr>
              <w:jc w:val="center"/>
              <w:rPr>
                <w:rFonts w:hint="default" w:ascii="Times New Roman" w:hAnsi="Times New Roman" w:eastAsia="仿宋" w:cs="Times New Roman"/>
                <w:bCs/>
                <w:color w:val="auto"/>
                <w:sz w:val="21"/>
                <w:szCs w:val="21"/>
              </w:rPr>
            </w:pPr>
          </w:p>
        </w:tc>
        <w:tc>
          <w:tcPr>
            <w:tcW w:w="2126"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Q≥ 100（Q3）</w:t>
            </w:r>
          </w:p>
        </w:tc>
        <w:tc>
          <w:tcPr>
            <w:tcW w:w="1242"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303"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68" w:type="dxa"/>
            <w:vMerge w:val="restart"/>
            <w:shd w:val="clear" w:color="auto" w:fill="auto"/>
            <w:vAlign w:val="center"/>
          </w:tcPr>
          <w:p>
            <w:pPr>
              <w:pStyle w:val="39"/>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类型2（E2）</w:t>
            </w:r>
          </w:p>
        </w:tc>
        <w:tc>
          <w:tcPr>
            <w:tcW w:w="2126"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1≤Q＜10（Q1）</w:t>
            </w:r>
          </w:p>
        </w:tc>
        <w:tc>
          <w:tcPr>
            <w:tcW w:w="1242" w:type="dxa"/>
            <w:shd w:val="clear" w:color="auto" w:fill="EEECE1" w:themeFill="background2"/>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一般</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303"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68" w:type="dxa"/>
            <w:vMerge w:val="continue"/>
            <w:shd w:val="clear" w:color="auto" w:fill="auto"/>
            <w:vAlign w:val="center"/>
          </w:tcPr>
          <w:p>
            <w:pPr>
              <w:jc w:val="center"/>
              <w:rPr>
                <w:rFonts w:hint="default" w:ascii="Times New Roman" w:hAnsi="Times New Roman" w:eastAsia="仿宋" w:cs="Times New Roman"/>
                <w:bCs/>
                <w:color w:val="auto"/>
                <w:sz w:val="21"/>
                <w:szCs w:val="21"/>
              </w:rPr>
            </w:pPr>
          </w:p>
        </w:tc>
        <w:tc>
          <w:tcPr>
            <w:tcW w:w="2126"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10≤ Q＜100（Q2）</w:t>
            </w:r>
          </w:p>
        </w:tc>
        <w:tc>
          <w:tcPr>
            <w:tcW w:w="1242"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303"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68" w:type="dxa"/>
            <w:vMerge w:val="continue"/>
            <w:shd w:val="clear" w:color="auto" w:fill="auto"/>
            <w:vAlign w:val="center"/>
          </w:tcPr>
          <w:p>
            <w:pPr>
              <w:jc w:val="center"/>
              <w:rPr>
                <w:rFonts w:hint="default" w:ascii="Times New Roman" w:hAnsi="Times New Roman" w:eastAsia="仿宋" w:cs="Times New Roman"/>
                <w:bCs/>
                <w:color w:val="auto"/>
                <w:sz w:val="21"/>
                <w:szCs w:val="21"/>
              </w:rPr>
            </w:pPr>
          </w:p>
        </w:tc>
        <w:tc>
          <w:tcPr>
            <w:tcW w:w="2126"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Q≥ 100（Q3）</w:t>
            </w:r>
          </w:p>
        </w:tc>
        <w:tc>
          <w:tcPr>
            <w:tcW w:w="1242"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303"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68" w:type="dxa"/>
            <w:vMerge w:val="restart"/>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类型3（E3）</w:t>
            </w:r>
          </w:p>
        </w:tc>
        <w:tc>
          <w:tcPr>
            <w:tcW w:w="2126"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1≤Q＜10（Q1）</w:t>
            </w:r>
          </w:p>
        </w:tc>
        <w:tc>
          <w:tcPr>
            <w:tcW w:w="1242"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一般</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一般</w:t>
            </w:r>
          </w:p>
        </w:tc>
        <w:tc>
          <w:tcPr>
            <w:tcW w:w="1303"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68" w:type="dxa"/>
            <w:vMerge w:val="continue"/>
            <w:shd w:val="clear" w:color="auto" w:fill="auto"/>
            <w:vAlign w:val="center"/>
          </w:tcPr>
          <w:p>
            <w:pPr>
              <w:jc w:val="center"/>
              <w:rPr>
                <w:rFonts w:hint="default" w:ascii="Times New Roman" w:hAnsi="Times New Roman" w:eastAsia="仿宋" w:cs="Times New Roman"/>
                <w:bCs/>
                <w:color w:val="auto"/>
                <w:sz w:val="21"/>
                <w:szCs w:val="21"/>
              </w:rPr>
            </w:pPr>
          </w:p>
        </w:tc>
        <w:tc>
          <w:tcPr>
            <w:tcW w:w="2126"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10≤ Q＜100（Q2）</w:t>
            </w:r>
          </w:p>
        </w:tc>
        <w:tc>
          <w:tcPr>
            <w:tcW w:w="1242"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一般</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303"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668" w:type="dxa"/>
            <w:vMerge w:val="continue"/>
            <w:shd w:val="clear" w:color="auto" w:fill="auto"/>
            <w:vAlign w:val="center"/>
          </w:tcPr>
          <w:p>
            <w:pPr>
              <w:jc w:val="center"/>
              <w:rPr>
                <w:rFonts w:hint="default" w:ascii="Times New Roman" w:hAnsi="Times New Roman" w:eastAsia="仿宋" w:cs="Times New Roman"/>
                <w:bCs/>
                <w:color w:val="auto"/>
                <w:sz w:val="21"/>
                <w:szCs w:val="21"/>
              </w:rPr>
            </w:pPr>
          </w:p>
        </w:tc>
        <w:tc>
          <w:tcPr>
            <w:tcW w:w="2126"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Q≥ 100（Q3）</w:t>
            </w:r>
          </w:p>
        </w:tc>
        <w:tc>
          <w:tcPr>
            <w:tcW w:w="1242"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较大</w:t>
            </w:r>
          </w:p>
        </w:tc>
        <w:tc>
          <w:tcPr>
            <w:tcW w:w="1303"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c>
          <w:tcPr>
            <w:tcW w:w="1304" w:type="dxa"/>
            <w:shd w:val="clear" w:color="auto" w:fill="auto"/>
            <w:vAlign w:val="center"/>
          </w:tcPr>
          <w:p>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重大</w:t>
            </w:r>
          </w:p>
        </w:tc>
      </w:tr>
    </w:tbl>
    <w:p>
      <w:pPr>
        <w:pStyle w:val="8"/>
        <w:spacing w:beforeLines="50" w:afterLines="50" w:line="500" w:lineRule="exact"/>
        <w:ind w:firstLine="0" w:firstLineChars="0"/>
        <w:outlineLvl w:val="2"/>
        <w:rPr>
          <w:rFonts w:hint="eastAsia" w:ascii="Times New Roman" w:eastAsia="仿宋"/>
          <w:b/>
          <w:color w:val="auto"/>
          <w:szCs w:val="28"/>
        </w:rPr>
      </w:pPr>
      <w:bookmarkStart w:id="114" w:name="_Toc28043"/>
      <w:r>
        <w:rPr>
          <w:rFonts w:hint="eastAsia" w:ascii="Times New Roman" w:eastAsia="仿宋"/>
          <w:b/>
          <w:color w:val="auto"/>
          <w:szCs w:val="28"/>
        </w:rPr>
        <w:t>6.3.5突发水环境事件风险等级表征</w:t>
      </w:r>
      <w:bookmarkEnd w:id="114"/>
    </w:p>
    <w:p>
      <w:pPr>
        <w:pStyle w:val="8"/>
        <w:spacing w:beforeLines="50" w:afterLines="50" w:line="240" w:lineRule="auto"/>
        <w:ind w:firstLine="560"/>
        <w:rPr>
          <w:rFonts w:ascii="Times New Roman" w:eastAsia="仿宋"/>
          <w:color w:val="auto"/>
          <w:szCs w:val="28"/>
        </w:rPr>
      </w:pPr>
      <w:r>
        <w:rPr>
          <w:rFonts w:ascii="Times New Roman" w:eastAsia="仿宋"/>
          <w:color w:val="auto"/>
          <w:szCs w:val="28"/>
        </w:rPr>
        <w:t>根据《企业突发环境事件风险分级方法》，企业突发水环境事件风险等级表征分为两种情况：</w:t>
      </w:r>
    </w:p>
    <w:p>
      <w:pPr>
        <w:pStyle w:val="8"/>
        <w:spacing w:beforeLines="50" w:afterLines="50" w:line="240" w:lineRule="auto"/>
        <w:ind w:firstLine="560"/>
        <w:rPr>
          <w:rFonts w:ascii="Times New Roman" w:eastAsia="仿宋"/>
          <w:color w:val="auto"/>
          <w:szCs w:val="28"/>
        </w:rPr>
      </w:pPr>
      <w:r>
        <w:rPr>
          <w:rFonts w:ascii="Times New Roman" w:eastAsia="仿宋"/>
          <w:color w:val="auto"/>
          <w:szCs w:val="28"/>
        </w:rPr>
        <w:t>（1）Q＜1时，企业突发水环境事件风险等级表示为“一般-水（Q</w:t>
      </w:r>
      <w:r>
        <w:rPr>
          <w:rFonts w:ascii="Times New Roman" w:eastAsia="仿宋"/>
          <w:color w:val="auto"/>
          <w:szCs w:val="28"/>
          <w:vertAlign w:val="subscript"/>
        </w:rPr>
        <w:t>0</w:t>
      </w:r>
      <w:r>
        <w:rPr>
          <w:rFonts w:ascii="Times New Roman" w:eastAsia="仿宋"/>
          <w:color w:val="auto"/>
          <w:szCs w:val="28"/>
        </w:rPr>
        <w:t>）”。</w:t>
      </w:r>
    </w:p>
    <w:p>
      <w:pPr>
        <w:pStyle w:val="8"/>
        <w:spacing w:beforeLines="50" w:afterLines="50" w:line="240" w:lineRule="auto"/>
        <w:ind w:firstLine="560"/>
        <w:rPr>
          <w:rFonts w:ascii="Times New Roman" w:eastAsia="仿宋"/>
          <w:color w:val="auto"/>
          <w:szCs w:val="28"/>
        </w:rPr>
      </w:pPr>
      <w:r>
        <w:rPr>
          <w:rFonts w:ascii="Times New Roman" w:eastAsia="仿宋"/>
          <w:color w:val="auto"/>
          <w:szCs w:val="28"/>
        </w:rPr>
        <w:t>（2）Q</w:t>
      </w:r>
      <w:r>
        <w:rPr>
          <w:rFonts w:hint="eastAsia" w:ascii="Times New Roman" w:eastAsia="仿宋"/>
          <w:color w:val="auto"/>
          <w:szCs w:val="28"/>
        </w:rPr>
        <w:t>≥</w:t>
      </w:r>
      <w:r>
        <w:rPr>
          <w:rFonts w:ascii="Times New Roman" w:eastAsia="仿宋"/>
          <w:color w:val="auto"/>
          <w:szCs w:val="28"/>
        </w:rPr>
        <w:t>1时，企业突发水环境事件风险等级表示为“环境风险等级-水（Q水平-M类型-E类型）”</w:t>
      </w:r>
    </w:p>
    <w:p>
      <w:pPr>
        <w:pStyle w:val="8"/>
        <w:widowControl w:val="0"/>
        <w:wordWrap/>
        <w:adjustRightInd w:val="0"/>
        <w:snapToGrid w:val="0"/>
        <w:spacing w:beforeAutospacing="0" w:line="240" w:lineRule="auto"/>
        <w:ind w:firstLine="560"/>
        <w:textAlignment w:val="auto"/>
        <w:rPr>
          <w:rFonts w:hint="eastAsia" w:ascii="Times New Roman" w:eastAsia="仿宋"/>
          <w:color w:val="auto"/>
          <w:szCs w:val="28"/>
        </w:rPr>
      </w:pPr>
      <w:r>
        <w:rPr>
          <w:rFonts w:ascii="Times New Roman" w:eastAsia="仿宋"/>
          <w:color w:val="auto"/>
          <w:szCs w:val="28"/>
        </w:rPr>
        <w:t>根据</w:t>
      </w:r>
      <w:r>
        <w:rPr>
          <w:rFonts w:hint="eastAsia" w:ascii="Times New Roman" w:eastAsia="仿宋"/>
          <w:color w:val="auto"/>
          <w:szCs w:val="28"/>
        </w:rPr>
        <w:t>江苏</w:t>
      </w:r>
      <w:r>
        <w:rPr>
          <w:rFonts w:hint="eastAsia" w:ascii="Times New Roman" w:eastAsia="仿宋"/>
          <w:color w:val="auto"/>
          <w:szCs w:val="28"/>
          <w:lang w:eastAsia="zh-CN"/>
        </w:rPr>
        <w:t>超力建材科技</w:t>
      </w:r>
      <w:r>
        <w:rPr>
          <w:rFonts w:hint="eastAsia" w:ascii="Times New Roman" w:eastAsia="仿宋"/>
          <w:color w:val="auto"/>
          <w:szCs w:val="28"/>
        </w:rPr>
        <w:t>有限公司</w:t>
      </w:r>
      <w:r>
        <w:rPr>
          <w:rFonts w:ascii="Times New Roman" w:eastAsia="仿宋"/>
          <w:color w:val="auto"/>
          <w:szCs w:val="28"/>
        </w:rPr>
        <w:t>涉水风险物质最大存在总量与临界量比值（Q）</w:t>
      </w:r>
      <w:r>
        <w:rPr>
          <w:rFonts w:hint="eastAsia" w:ascii="Times New Roman" w:eastAsia="仿宋"/>
          <w:color w:val="auto"/>
          <w:szCs w:val="28"/>
          <w:lang w:eastAsia="zh-CN"/>
        </w:rPr>
        <w:t>，</w:t>
      </w:r>
      <w:r>
        <w:rPr>
          <w:rFonts w:ascii="Times New Roman" w:eastAsia="仿宋"/>
          <w:color w:val="auto"/>
          <w:szCs w:val="28"/>
        </w:rPr>
        <w:t>确定企业的突发水环境事件风险级别表征为</w:t>
      </w:r>
      <w:r>
        <w:rPr>
          <w:rFonts w:hint="eastAsia" w:ascii="Times New Roman" w:eastAsia="仿宋"/>
          <w:color w:val="auto"/>
          <w:szCs w:val="28"/>
          <w:lang w:eastAsia="zh-CN"/>
        </w:rPr>
        <w:t>：</w:t>
      </w:r>
      <w:r>
        <w:rPr>
          <w:rFonts w:hint="eastAsia" w:ascii="Times New Roman" w:eastAsia="仿宋"/>
          <w:color w:val="auto"/>
          <w:szCs w:val="28"/>
          <w:lang w:eastAsia="zh-CN"/>
        </w:rPr>
        <w:t>“一般-水（Q1水平-M1类型-E2类型）”</w:t>
      </w:r>
      <w:r>
        <w:rPr>
          <w:rFonts w:ascii="Times New Roman" w:eastAsia="仿宋"/>
          <w:color w:val="auto"/>
          <w:szCs w:val="28"/>
        </w:rPr>
        <w:t>。</w:t>
      </w:r>
    </w:p>
    <w:p>
      <w:pPr>
        <w:pStyle w:val="5"/>
        <w:keepNext/>
        <w:keepLines/>
        <w:widowControl w:val="0"/>
        <w:wordWrap/>
        <w:adjustRightInd w:val="0"/>
        <w:snapToGrid w:val="0"/>
        <w:spacing w:beforeLines="50" w:beforeAutospacing="0" w:line="360" w:lineRule="auto"/>
        <w:ind w:left="0"/>
        <w:jc w:val="both"/>
        <w:textAlignment w:val="auto"/>
        <w:rPr>
          <w:rFonts w:hint="default" w:ascii="Times New Roman" w:hAnsi="Times New Roman" w:eastAsia="仿宋" w:cs="Times New Roman"/>
          <w:b/>
          <w:color w:val="auto"/>
          <w:sz w:val="30"/>
          <w:szCs w:val="30"/>
        </w:rPr>
      </w:pPr>
      <w:bookmarkStart w:id="115" w:name="_Toc13064"/>
      <w:r>
        <w:rPr>
          <w:rFonts w:hint="default" w:ascii="Times New Roman" w:hAnsi="Times New Roman" w:eastAsia="仿宋" w:cs="Times New Roman"/>
          <w:b/>
          <w:color w:val="auto"/>
          <w:sz w:val="30"/>
          <w:szCs w:val="30"/>
        </w:rPr>
        <w:t>6.4企业突发环境事件风险等级确定与调整</w:t>
      </w:r>
      <w:bookmarkEnd w:id="115"/>
    </w:p>
    <w:p>
      <w:pPr>
        <w:pStyle w:val="8"/>
        <w:widowControl w:val="0"/>
        <w:wordWrap/>
        <w:adjustRightInd w:val="0"/>
        <w:snapToGrid w:val="0"/>
        <w:spacing w:beforeAutospacing="0" w:line="240" w:lineRule="auto"/>
        <w:ind w:firstLine="560"/>
        <w:textAlignment w:val="auto"/>
        <w:rPr>
          <w:rFonts w:ascii="Times New Roman" w:eastAsia="仿宋"/>
          <w:color w:val="auto"/>
          <w:szCs w:val="28"/>
        </w:rPr>
      </w:pPr>
      <w:r>
        <w:rPr>
          <w:rFonts w:ascii="Times New Roman" w:eastAsia="仿宋"/>
          <w:color w:val="auto"/>
          <w:szCs w:val="28"/>
        </w:rPr>
        <w:t>根据《企业突发环境事件风险分级方法》，企业生产、使用、存储和释放的突发环境事件风险物质数量与其临界量的比值（Q），评估生产工艺过程与环境风险控制水平（M）以及环境风险受体敏感程度（E）的评估分析结果，分别评估企业突发大气环境事件风险和突发水环境事件风险，将企业突发大气或水环境事件风险等级划分为一般环境风险、较大环境风险和重大环境风险三级，分别用蓝色、黄色和红色标识。同时涉及突发大气和水环境事件风险的企业，以等级高者确定企业突发环境事件风险等级。</w:t>
      </w:r>
    </w:p>
    <w:p>
      <w:pPr>
        <w:pStyle w:val="6"/>
        <w:keepNext/>
        <w:keepLines/>
        <w:widowControl w:val="0"/>
        <w:wordWrap/>
        <w:adjustRightInd w:val="0"/>
        <w:snapToGrid w:val="0"/>
        <w:spacing w:beforeLines="50" w:beforeAutospacing="0" w:after="0" w:line="360" w:lineRule="auto"/>
        <w:ind w:left="0"/>
        <w:jc w:val="both"/>
        <w:textAlignment w:val="auto"/>
        <w:outlineLvl w:val="2"/>
        <w:rPr>
          <w:rFonts w:hint="default" w:ascii="Times New Roman" w:hAnsi="Times New Roman" w:eastAsia="仿宋" w:cs="Times New Roman"/>
          <w:b/>
          <w:color w:val="auto"/>
          <w:sz w:val="28"/>
          <w:szCs w:val="28"/>
        </w:rPr>
      </w:pPr>
      <w:bookmarkStart w:id="116" w:name="_Toc24312"/>
      <w:r>
        <w:rPr>
          <w:rFonts w:hint="default" w:ascii="Times New Roman" w:hAnsi="Times New Roman" w:eastAsia="仿宋" w:cs="Times New Roman"/>
          <w:b/>
          <w:color w:val="auto"/>
          <w:sz w:val="28"/>
          <w:szCs w:val="28"/>
        </w:rPr>
        <w:t>6.4.1风险等级确定</w:t>
      </w:r>
      <w:bookmarkEnd w:id="116"/>
    </w:p>
    <w:p>
      <w:pPr>
        <w:pStyle w:val="8"/>
        <w:widowControl w:val="0"/>
        <w:wordWrap/>
        <w:adjustRightInd w:val="0"/>
        <w:snapToGrid w:val="0"/>
        <w:spacing w:beforeAutospacing="0" w:line="240" w:lineRule="auto"/>
        <w:ind w:firstLine="560"/>
        <w:textAlignment w:val="auto"/>
        <w:rPr>
          <w:rFonts w:ascii="Times New Roman" w:eastAsia="仿宋"/>
          <w:color w:val="auto"/>
          <w:szCs w:val="28"/>
        </w:rPr>
      </w:pPr>
      <w:r>
        <w:rPr>
          <w:rFonts w:ascii="Times New Roman" w:eastAsia="仿宋"/>
          <w:color w:val="auto"/>
          <w:szCs w:val="28"/>
        </w:rPr>
        <w:t>通过对上述</w:t>
      </w:r>
      <w:r>
        <w:rPr>
          <w:rFonts w:hint="eastAsia" w:ascii="Times New Roman" w:eastAsia="仿宋"/>
          <w:color w:val="auto"/>
          <w:szCs w:val="28"/>
        </w:rPr>
        <w:t>江苏</w:t>
      </w:r>
      <w:r>
        <w:rPr>
          <w:rFonts w:hint="eastAsia" w:ascii="Times New Roman" w:eastAsia="仿宋"/>
          <w:color w:val="auto"/>
          <w:szCs w:val="28"/>
          <w:lang w:eastAsia="zh-CN"/>
        </w:rPr>
        <w:t>超力建材科技</w:t>
      </w:r>
      <w:r>
        <w:rPr>
          <w:rFonts w:hint="eastAsia" w:ascii="Times New Roman" w:eastAsia="仿宋"/>
          <w:color w:val="auto"/>
          <w:szCs w:val="28"/>
        </w:rPr>
        <w:t>有限公司</w:t>
      </w:r>
      <w:r>
        <w:rPr>
          <w:rFonts w:ascii="Times New Roman" w:eastAsia="仿宋"/>
          <w:color w:val="auto"/>
          <w:szCs w:val="28"/>
        </w:rPr>
        <w:t>的突发大气、水环境事件风险等级的评估分析，以企业突发大气环境事件风险和突发水环境事件风险等级高者确定企业突发环境事件风险等级。</w:t>
      </w:r>
    </w:p>
    <w:p>
      <w:pPr>
        <w:pStyle w:val="8"/>
        <w:widowControl w:val="0"/>
        <w:wordWrap/>
        <w:adjustRightInd w:val="0"/>
        <w:snapToGrid w:val="0"/>
        <w:spacing w:beforeAutospacing="0" w:line="240" w:lineRule="auto"/>
        <w:ind w:firstLine="560"/>
        <w:textAlignment w:val="auto"/>
        <w:rPr>
          <w:rFonts w:ascii="Times New Roman" w:eastAsia="仿宋"/>
          <w:color w:val="auto"/>
          <w:szCs w:val="28"/>
        </w:rPr>
      </w:pPr>
      <w:r>
        <w:rPr>
          <w:rFonts w:ascii="Times New Roman" w:eastAsia="仿宋"/>
          <w:color w:val="auto"/>
          <w:szCs w:val="28"/>
        </w:rPr>
        <w:t>最终确定</w:t>
      </w:r>
      <w:r>
        <w:rPr>
          <w:rFonts w:hint="eastAsia" w:ascii="Times New Roman" w:eastAsia="仿宋"/>
          <w:color w:val="auto"/>
          <w:szCs w:val="28"/>
        </w:rPr>
        <w:t>江苏</w:t>
      </w:r>
      <w:r>
        <w:rPr>
          <w:rFonts w:hint="eastAsia" w:ascii="Times New Roman" w:eastAsia="仿宋"/>
          <w:color w:val="auto"/>
          <w:szCs w:val="28"/>
          <w:lang w:eastAsia="zh-CN"/>
        </w:rPr>
        <w:t>超力建材科技</w:t>
      </w:r>
      <w:r>
        <w:rPr>
          <w:rFonts w:hint="eastAsia" w:ascii="Times New Roman" w:eastAsia="仿宋"/>
          <w:color w:val="auto"/>
          <w:szCs w:val="28"/>
        </w:rPr>
        <w:t>有限公司</w:t>
      </w:r>
      <w:r>
        <w:rPr>
          <w:rFonts w:ascii="Times New Roman" w:eastAsia="仿宋"/>
          <w:color w:val="auto"/>
          <w:szCs w:val="28"/>
        </w:rPr>
        <w:t>的风险等级为</w:t>
      </w:r>
      <w:r>
        <w:rPr>
          <w:rFonts w:hint="eastAsia" w:ascii="Times New Roman" w:eastAsia="仿宋"/>
          <w:color w:val="auto"/>
          <w:szCs w:val="28"/>
          <w:lang w:eastAsia="zh-CN"/>
        </w:rPr>
        <w:t>一般</w:t>
      </w:r>
      <w:r>
        <w:rPr>
          <w:rFonts w:hint="eastAsia" w:ascii="Times New Roman" w:eastAsia="仿宋"/>
          <w:color w:val="auto"/>
          <w:szCs w:val="28"/>
          <w:lang w:val="en-US" w:eastAsia="zh-CN"/>
        </w:rPr>
        <w:t>-[一般-大气</w:t>
      </w:r>
      <w:r>
        <w:rPr>
          <w:rFonts w:hint="eastAsia" w:ascii="Times New Roman" w:eastAsia="仿宋"/>
          <w:color w:val="auto"/>
          <w:szCs w:val="28"/>
          <w:lang w:eastAsia="zh-CN"/>
        </w:rPr>
        <w:t>（</w:t>
      </w:r>
      <w:r>
        <w:rPr>
          <w:rFonts w:hint="eastAsia" w:ascii="Times New Roman" w:eastAsia="仿宋"/>
          <w:color w:val="auto"/>
          <w:szCs w:val="28"/>
          <w:lang w:val="en-US" w:eastAsia="zh-CN"/>
        </w:rPr>
        <w:t>Q1水平-M1类型-E2类型）-一般-水</w:t>
      </w:r>
      <w:r>
        <w:rPr>
          <w:rFonts w:hint="eastAsia" w:ascii="Times New Roman" w:eastAsia="仿宋"/>
          <w:color w:val="auto"/>
          <w:szCs w:val="28"/>
          <w:lang w:eastAsia="zh-CN"/>
        </w:rPr>
        <w:t>（</w:t>
      </w:r>
      <w:r>
        <w:rPr>
          <w:rFonts w:hint="eastAsia" w:ascii="Times New Roman" w:eastAsia="仿宋"/>
          <w:color w:val="auto"/>
          <w:szCs w:val="28"/>
          <w:lang w:val="en-US" w:eastAsia="zh-CN"/>
        </w:rPr>
        <w:t>Q1水平-M1类型-E2类型）]</w:t>
      </w:r>
      <w:r>
        <w:rPr>
          <w:rFonts w:ascii="Times New Roman" w:eastAsia="仿宋"/>
          <w:color w:val="auto"/>
          <w:szCs w:val="28"/>
        </w:rPr>
        <w:t>。</w:t>
      </w:r>
    </w:p>
    <w:p>
      <w:pPr>
        <w:pStyle w:val="6"/>
        <w:keepNext/>
        <w:keepLines/>
        <w:widowControl w:val="0"/>
        <w:wordWrap/>
        <w:adjustRightInd w:val="0"/>
        <w:snapToGrid w:val="0"/>
        <w:spacing w:beforeLines="50" w:beforeAutospacing="0" w:afterLines="50" w:line="240" w:lineRule="auto"/>
        <w:ind w:left="0"/>
        <w:jc w:val="both"/>
        <w:textAlignment w:val="auto"/>
        <w:outlineLvl w:val="2"/>
        <w:rPr>
          <w:rFonts w:hint="eastAsia" w:ascii="Times New Roman" w:hAnsi="Times New Roman" w:eastAsia="仿宋" w:cs="Times New Roman"/>
          <w:b/>
          <w:color w:val="auto"/>
          <w:sz w:val="28"/>
          <w:szCs w:val="28"/>
        </w:rPr>
      </w:pPr>
      <w:bookmarkStart w:id="117" w:name="_Toc8221"/>
      <w:r>
        <w:rPr>
          <w:rFonts w:hint="eastAsia" w:ascii="Times New Roman" w:hAnsi="Times New Roman" w:eastAsia="仿宋" w:cs="Times New Roman"/>
          <w:b/>
          <w:color w:val="auto"/>
          <w:sz w:val="28"/>
          <w:szCs w:val="28"/>
        </w:rPr>
        <w:t>6.4.2风险等级调整</w:t>
      </w:r>
      <w:bookmarkEnd w:id="117"/>
    </w:p>
    <w:p>
      <w:pPr>
        <w:pStyle w:val="8"/>
        <w:widowControl w:val="0"/>
        <w:wordWrap/>
        <w:adjustRightInd w:val="0"/>
        <w:snapToGrid w:val="0"/>
        <w:spacing w:beforeAutospacing="0" w:line="240" w:lineRule="auto"/>
        <w:ind w:firstLine="560"/>
        <w:textAlignment w:val="auto"/>
        <w:rPr>
          <w:rFonts w:hint="eastAsia" w:ascii="Times New Roman" w:eastAsia="仿宋"/>
          <w:color w:val="auto"/>
          <w:szCs w:val="28"/>
        </w:rPr>
      </w:pPr>
      <w:r>
        <w:rPr>
          <w:rFonts w:hint="eastAsia" w:ascii="Times New Roman" w:eastAsia="仿宋"/>
          <w:color w:val="auto"/>
          <w:szCs w:val="28"/>
        </w:rPr>
        <w:t>根据《企业突发环境事件风险分级方法》，近三年内因违法排放污染物、非法转移处置危险废物等行为受到环境保护主管部门处罚的企业，在已评定的突发环境事件风险等级基础上调高一级，最高等级为重大。</w:t>
      </w:r>
    </w:p>
    <w:p>
      <w:pPr>
        <w:pStyle w:val="8"/>
        <w:widowControl w:val="0"/>
        <w:wordWrap/>
        <w:adjustRightInd w:val="0"/>
        <w:snapToGrid w:val="0"/>
        <w:spacing w:beforeAutospacing="0" w:line="240" w:lineRule="auto"/>
        <w:ind w:firstLine="560"/>
        <w:textAlignment w:val="auto"/>
        <w:rPr>
          <w:rFonts w:hint="eastAsia" w:ascii="Times New Roman" w:eastAsia="仿宋"/>
          <w:color w:val="auto"/>
          <w:szCs w:val="28"/>
        </w:rPr>
      </w:pPr>
      <w:r>
        <w:rPr>
          <w:rFonts w:hint="eastAsia" w:ascii="Times New Roman" w:eastAsia="仿宋"/>
          <w:color w:val="auto"/>
          <w:szCs w:val="28"/>
        </w:rPr>
        <w:t>江苏</w:t>
      </w:r>
      <w:r>
        <w:rPr>
          <w:rFonts w:hint="eastAsia" w:ascii="Times New Roman" w:eastAsia="仿宋"/>
          <w:color w:val="auto"/>
          <w:szCs w:val="28"/>
          <w:lang w:eastAsia="zh-CN"/>
        </w:rPr>
        <w:t>超力建材科技</w:t>
      </w:r>
      <w:r>
        <w:rPr>
          <w:rFonts w:hint="eastAsia" w:ascii="Times New Roman" w:eastAsia="仿宋"/>
          <w:color w:val="auto"/>
          <w:szCs w:val="28"/>
        </w:rPr>
        <w:t>有限公司近三年内没有因违法排放污染物、非法转移处置危险废物等行为受到环境保护主管部门处罚。</w:t>
      </w:r>
    </w:p>
    <w:p>
      <w:pPr>
        <w:pStyle w:val="6"/>
        <w:keepNext/>
        <w:keepLines/>
        <w:widowControl w:val="0"/>
        <w:wordWrap/>
        <w:adjustRightInd w:val="0"/>
        <w:snapToGrid w:val="0"/>
        <w:spacing w:beforeLines="50" w:beforeAutospacing="0" w:afterLines="50" w:line="240" w:lineRule="auto"/>
        <w:ind w:left="0"/>
        <w:jc w:val="both"/>
        <w:textAlignment w:val="auto"/>
        <w:outlineLvl w:val="2"/>
        <w:rPr>
          <w:rFonts w:hint="default" w:ascii="Times New Roman" w:hAnsi="Times New Roman" w:eastAsia="仿宋" w:cs="Times New Roman"/>
          <w:b/>
          <w:color w:val="auto"/>
          <w:sz w:val="28"/>
          <w:szCs w:val="28"/>
        </w:rPr>
      </w:pPr>
      <w:bookmarkStart w:id="118" w:name="_Toc7997"/>
      <w:r>
        <w:rPr>
          <w:rFonts w:hint="eastAsia" w:ascii="Times New Roman" w:hAnsi="Times New Roman" w:eastAsia="仿宋" w:cs="Times New Roman"/>
          <w:b/>
          <w:color w:val="auto"/>
          <w:sz w:val="28"/>
          <w:szCs w:val="28"/>
        </w:rPr>
        <w:t>6</w:t>
      </w:r>
      <w:r>
        <w:rPr>
          <w:rFonts w:hint="default" w:ascii="Times New Roman" w:hAnsi="Times New Roman" w:eastAsia="仿宋" w:cs="Times New Roman"/>
          <w:b/>
          <w:color w:val="auto"/>
          <w:sz w:val="28"/>
          <w:szCs w:val="28"/>
        </w:rPr>
        <w:t>.</w:t>
      </w:r>
      <w:r>
        <w:rPr>
          <w:rFonts w:hint="eastAsia" w:ascii="Times New Roman" w:hAnsi="Times New Roman" w:eastAsia="仿宋" w:cs="Times New Roman"/>
          <w:b/>
          <w:color w:val="auto"/>
          <w:sz w:val="28"/>
          <w:szCs w:val="28"/>
        </w:rPr>
        <w:t>4</w:t>
      </w:r>
      <w:r>
        <w:rPr>
          <w:rFonts w:hint="default" w:ascii="Times New Roman" w:hAnsi="Times New Roman" w:eastAsia="仿宋" w:cs="Times New Roman"/>
          <w:b/>
          <w:color w:val="auto"/>
          <w:sz w:val="28"/>
          <w:szCs w:val="28"/>
        </w:rPr>
        <w:t>.3风险等级表征</w:t>
      </w:r>
      <w:bookmarkEnd w:id="118"/>
    </w:p>
    <w:p>
      <w:pPr>
        <w:pStyle w:val="8"/>
        <w:widowControl w:val="0"/>
        <w:wordWrap/>
        <w:adjustRightInd w:val="0"/>
        <w:snapToGrid w:val="0"/>
        <w:spacing w:beforeAutospacing="0" w:line="240" w:lineRule="auto"/>
        <w:ind w:firstLine="560"/>
        <w:textAlignment w:val="auto"/>
        <w:rPr>
          <w:rFonts w:hint="eastAsia" w:ascii="Times New Roman" w:eastAsia="仿宋"/>
          <w:color w:val="auto"/>
          <w:szCs w:val="28"/>
        </w:rPr>
      </w:pPr>
      <w:r>
        <w:rPr>
          <w:rFonts w:hint="eastAsia" w:ascii="Times New Roman" w:eastAsia="仿宋"/>
          <w:color w:val="auto"/>
          <w:szCs w:val="28"/>
        </w:rPr>
        <w:t>根据《企业突发环境事件风险分级方法》，只涉及突发大气环境事件风险的企业，风险等级按突发大气环境事件风险等级进行表征。</w:t>
      </w:r>
    </w:p>
    <w:p>
      <w:pPr>
        <w:pStyle w:val="8"/>
        <w:widowControl w:val="0"/>
        <w:wordWrap/>
        <w:adjustRightInd w:val="0"/>
        <w:snapToGrid w:val="0"/>
        <w:spacing w:beforeAutospacing="0" w:line="240" w:lineRule="auto"/>
        <w:ind w:firstLine="560"/>
        <w:textAlignment w:val="auto"/>
        <w:rPr>
          <w:rFonts w:hint="eastAsia" w:ascii="Times New Roman" w:eastAsia="仿宋"/>
          <w:color w:val="auto"/>
          <w:szCs w:val="28"/>
        </w:rPr>
      </w:pPr>
      <w:r>
        <w:rPr>
          <w:rFonts w:hint="eastAsia" w:ascii="Times New Roman" w:eastAsia="仿宋"/>
          <w:color w:val="auto"/>
          <w:szCs w:val="28"/>
        </w:rPr>
        <w:t>只涉及突发水环境事件风险的企业，风险等级按突发水环境事件风险等级进行表征。</w:t>
      </w:r>
    </w:p>
    <w:p>
      <w:pPr>
        <w:pStyle w:val="8"/>
        <w:widowControl w:val="0"/>
        <w:wordWrap/>
        <w:adjustRightInd w:val="0"/>
        <w:snapToGrid w:val="0"/>
        <w:spacing w:beforeAutospacing="0" w:line="240" w:lineRule="auto"/>
        <w:ind w:firstLine="560"/>
        <w:textAlignment w:val="auto"/>
        <w:rPr>
          <w:rFonts w:hint="eastAsia" w:ascii="Times New Roman" w:eastAsia="仿宋"/>
          <w:color w:val="auto"/>
          <w:szCs w:val="28"/>
        </w:rPr>
      </w:pPr>
      <w:r>
        <w:rPr>
          <w:rFonts w:hint="eastAsia" w:ascii="Times New Roman" w:eastAsia="仿宋"/>
          <w:color w:val="auto"/>
          <w:szCs w:val="28"/>
        </w:rPr>
        <w:t>同时涉及突发大气和水环境事件风险的企业，风险等级表示为“企业突发环境事件风险等级[突发大气环境事件风险等级表征+突发水环境事件风险等级表征]”，</w:t>
      </w:r>
    </w:p>
    <w:p>
      <w:pPr>
        <w:pStyle w:val="8"/>
        <w:widowControl w:val="0"/>
        <w:wordWrap/>
        <w:adjustRightInd w:val="0"/>
        <w:snapToGrid w:val="0"/>
        <w:spacing w:beforeAutospacing="0" w:line="240" w:lineRule="auto"/>
        <w:ind w:firstLine="560"/>
        <w:textAlignment w:val="auto"/>
        <w:rPr>
          <w:rFonts w:hint="eastAsia" w:ascii="Times New Roman" w:eastAsia="仿宋"/>
          <w:color w:val="auto"/>
          <w:szCs w:val="28"/>
        </w:rPr>
      </w:pPr>
      <w:r>
        <w:rPr>
          <w:rFonts w:hint="eastAsia" w:ascii="Times New Roman" w:eastAsia="仿宋"/>
          <w:color w:val="auto"/>
          <w:szCs w:val="28"/>
        </w:rPr>
        <w:t>综上所述，</w:t>
      </w:r>
      <w:r>
        <w:rPr>
          <w:rFonts w:hint="eastAsia" w:ascii="Times New Roman" w:eastAsia="仿宋"/>
          <w:color w:val="auto"/>
          <w:szCs w:val="28"/>
          <w:lang w:eastAsia="zh-CN"/>
        </w:rPr>
        <w:t>江苏超力建材科技有限公司</w:t>
      </w:r>
      <w:r>
        <w:rPr>
          <w:rFonts w:hint="eastAsia" w:ascii="Times New Roman" w:eastAsia="仿宋"/>
          <w:color w:val="auto"/>
          <w:szCs w:val="28"/>
        </w:rPr>
        <w:t>的风险等级为</w:t>
      </w:r>
      <w:r>
        <w:rPr>
          <w:rFonts w:hint="eastAsia" w:ascii="Times New Roman" w:eastAsia="仿宋"/>
          <w:color w:val="auto"/>
          <w:szCs w:val="28"/>
          <w:lang w:eastAsia="zh-CN"/>
        </w:rPr>
        <w:t>一般</w:t>
      </w:r>
      <w:r>
        <w:rPr>
          <w:rFonts w:hint="eastAsia" w:ascii="Times New Roman" w:eastAsia="仿宋"/>
          <w:color w:val="auto"/>
          <w:szCs w:val="28"/>
          <w:lang w:val="en-US" w:eastAsia="zh-CN"/>
        </w:rPr>
        <w:t>-[一般-大气</w:t>
      </w:r>
      <w:r>
        <w:rPr>
          <w:rFonts w:hint="eastAsia" w:ascii="Times New Roman" w:eastAsia="仿宋"/>
          <w:color w:val="auto"/>
          <w:szCs w:val="28"/>
          <w:lang w:eastAsia="zh-CN"/>
        </w:rPr>
        <w:t>（</w:t>
      </w:r>
      <w:r>
        <w:rPr>
          <w:rFonts w:hint="eastAsia" w:ascii="Times New Roman" w:eastAsia="仿宋"/>
          <w:color w:val="auto"/>
          <w:szCs w:val="28"/>
          <w:lang w:val="en-US" w:eastAsia="zh-CN"/>
        </w:rPr>
        <w:t>Q1水平-M1类型-E2类型）-一般-水</w:t>
      </w:r>
      <w:r>
        <w:rPr>
          <w:rFonts w:hint="eastAsia" w:ascii="Times New Roman" w:eastAsia="仿宋"/>
          <w:color w:val="auto"/>
          <w:szCs w:val="28"/>
          <w:lang w:eastAsia="zh-CN"/>
        </w:rPr>
        <w:t>（</w:t>
      </w:r>
      <w:r>
        <w:rPr>
          <w:rFonts w:hint="eastAsia" w:ascii="Times New Roman" w:eastAsia="仿宋"/>
          <w:color w:val="auto"/>
          <w:szCs w:val="28"/>
          <w:lang w:val="en-US" w:eastAsia="zh-CN"/>
        </w:rPr>
        <w:t>Q1水平-M1类型-E2类型）]</w:t>
      </w:r>
      <w:r>
        <w:rPr>
          <w:rFonts w:hint="eastAsia" w:ascii="Times New Roman" w:eastAsia="仿宋"/>
          <w:color w:val="auto"/>
          <w:szCs w:val="28"/>
        </w:rPr>
        <w:t>。</w:t>
      </w:r>
    </w:p>
    <w:p>
      <w:pPr>
        <w:pStyle w:val="8"/>
        <w:widowControl w:val="0"/>
        <w:wordWrap/>
        <w:adjustRightInd w:val="0"/>
        <w:snapToGrid w:val="0"/>
        <w:spacing w:beforeAutospacing="0" w:line="360" w:lineRule="auto"/>
        <w:ind w:firstLine="560"/>
        <w:textAlignment w:val="auto"/>
        <w:rPr>
          <w:rFonts w:hint="eastAsia" w:ascii="Times New Roman" w:eastAsia="仿宋"/>
          <w:color w:val="auto"/>
          <w:szCs w:val="28"/>
        </w:rPr>
      </w:pPr>
    </w:p>
    <w:p>
      <w:pPr>
        <w:pStyle w:val="8"/>
        <w:widowControl w:val="0"/>
        <w:wordWrap/>
        <w:adjustRightInd w:val="0"/>
        <w:snapToGrid w:val="0"/>
        <w:spacing w:beforeAutospacing="0" w:line="360" w:lineRule="auto"/>
        <w:ind w:firstLine="560"/>
        <w:textAlignment w:val="auto"/>
        <w:rPr>
          <w:rFonts w:hint="eastAsia" w:ascii="Times New Roman" w:eastAsia="仿宋"/>
          <w:color w:val="auto"/>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tabs>
          <w:tab w:val="left" w:pos="2724"/>
        </w:tabs>
        <w:spacing w:line="621" w:lineRule="exact"/>
        <w:ind w:left="113" w:right="0"/>
        <w:jc w:val="left"/>
        <w:rPr>
          <w:b w:val="0"/>
          <w:bCs w:val="0"/>
          <w:color w:val="auto"/>
          <w:spacing w:val="2"/>
          <w:w w:val="100"/>
        </w:rPr>
      </w:pPr>
    </w:p>
    <w:p>
      <w:pPr>
        <w:pStyle w:val="4"/>
        <w:tabs>
          <w:tab w:val="left" w:pos="2724"/>
        </w:tabs>
        <w:spacing w:line="621" w:lineRule="exact"/>
        <w:ind w:left="113" w:right="0"/>
        <w:jc w:val="left"/>
        <w:rPr>
          <w:b w:val="0"/>
          <w:bCs w:val="0"/>
          <w:color w:val="auto"/>
          <w:spacing w:val="2"/>
          <w:w w:val="100"/>
        </w:rPr>
      </w:pPr>
    </w:p>
    <w:p>
      <w:pPr>
        <w:pStyle w:val="4"/>
        <w:tabs>
          <w:tab w:val="left" w:pos="2724"/>
        </w:tabs>
        <w:spacing w:line="621" w:lineRule="exact"/>
        <w:ind w:left="113" w:right="0"/>
        <w:jc w:val="left"/>
        <w:rPr>
          <w:b w:val="0"/>
          <w:bCs w:val="0"/>
          <w:color w:val="auto"/>
          <w:spacing w:val="2"/>
          <w:w w:val="100"/>
        </w:rPr>
      </w:pPr>
    </w:p>
    <w:p>
      <w:pPr>
        <w:pStyle w:val="4"/>
        <w:tabs>
          <w:tab w:val="left" w:pos="2724"/>
        </w:tabs>
        <w:spacing w:line="621" w:lineRule="exact"/>
        <w:ind w:left="113" w:right="0"/>
        <w:jc w:val="left"/>
        <w:rPr>
          <w:b w:val="0"/>
          <w:bCs w:val="0"/>
          <w:color w:val="auto"/>
          <w:spacing w:val="2"/>
          <w:w w:val="100"/>
        </w:rPr>
      </w:pPr>
    </w:p>
    <w:p>
      <w:pPr>
        <w:pStyle w:val="4"/>
        <w:tabs>
          <w:tab w:val="left" w:pos="2724"/>
        </w:tabs>
        <w:spacing w:line="621" w:lineRule="exact"/>
        <w:ind w:left="113" w:right="0"/>
        <w:jc w:val="left"/>
        <w:rPr>
          <w:b w:val="0"/>
          <w:bCs w:val="0"/>
          <w:color w:val="auto"/>
          <w:spacing w:val="2"/>
          <w:w w:val="100"/>
        </w:rPr>
      </w:pPr>
    </w:p>
    <w:p>
      <w:pPr>
        <w:pStyle w:val="4"/>
        <w:tabs>
          <w:tab w:val="left" w:pos="2724"/>
        </w:tabs>
        <w:spacing w:line="621" w:lineRule="exact"/>
        <w:ind w:left="113" w:right="0"/>
        <w:jc w:val="left"/>
        <w:rPr>
          <w:b w:val="0"/>
          <w:bCs w:val="0"/>
          <w:color w:val="auto"/>
          <w:spacing w:val="2"/>
          <w:w w:val="100"/>
        </w:rPr>
      </w:pPr>
    </w:p>
    <w:p>
      <w:pPr>
        <w:pStyle w:val="4"/>
        <w:tabs>
          <w:tab w:val="left" w:pos="2724"/>
        </w:tabs>
        <w:spacing w:line="621" w:lineRule="exact"/>
        <w:ind w:left="113" w:right="0"/>
        <w:jc w:val="left"/>
        <w:rPr>
          <w:b w:val="0"/>
          <w:bCs w:val="0"/>
          <w:color w:val="auto"/>
          <w:spacing w:val="2"/>
          <w:w w:val="100"/>
        </w:rPr>
      </w:pPr>
    </w:p>
    <w:p>
      <w:pPr>
        <w:pStyle w:val="4"/>
        <w:tabs>
          <w:tab w:val="left" w:pos="2724"/>
        </w:tabs>
        <w:spacing w:line="621" w:lineRule="exact"/>
        <w:ind w:left="113" w:right="0"/>
        <w:jc w:val="left"/>
        <w:rPr>
          <w:b w:val="0"/>
          <w:bCs w:val="0"/>
          <w:color w:val="auto"/>
          <w:spacing w:val="2"/>
          <w:w w:val="100"/>
        </w:rPr>
      </w:pPr>
    </w:p>
    <w:p>
      <w:pPr>
        <w:pStyle w:val="4"/>
        <w:tabs>
          <w:tab w:val="left" w:pos="2724"/>
        </w:tabs>
        <w:spacing w:line="360" w:lineRule="auto"/>
        <w:ind w:left="113" w:right="0"/>
        <w:jc w:val="left"/>
        <w:rPr>
          <w:b w:val="0"/>
          <w:bCs w:val="0"/>
          <w:color w:val="auto"/>
          <w:spacing w:val="2"/>
          <w:w w:val="100"/>
          <w:sz w:val="52"/>
          <w:szCs w:val="52"/>
        </w:rPr>
      </w:pPr>
    </w:p>
    <w:p>
      <w:pPr>
        <w:numPr>
          <w:ilvl w:val="0"/>
          <w:numId w:val="0"/>
        </w:numPr>
        <w:spacing w:line="360" w:lineRule="auto"/>
        <w:jc w:val="center"/>
        <w:outlineLvl w:val="0"/>
        <w:rPr>
          <w:rFonts w:hint="eastAsia" w:ascii="Times New Roman" w:hAnsi="Times New Roman" w:eastAsia="仿宋" w:cs="Times New Roman"/>
          <w:b/>
          <w:bCs/>
          <w:color w:val="auto"/>
          <w:sz w:val="84"/>
          <w:szCs w:val="84"/>
          <w:lang w:eastAsia="zh-CN"/>
        </w:rPr>
      </w:pPr>
      <w:bookmarkStart w:id="119" w:name="_Toc26080"/>
      <w:r>
        <w:rPr>
          <w:rFonts w:hint="eastAsia" w:ascii="Times New Roman" w:hAnsi="Times New Roman" w:eastAsia="仿宋" w:cs="Times New Roman"/>
          <w:b/>
          <w:bCs/>
          <w:color w:val="auto"/>
          <w:sz w:val="84"/>
          <w:szCs w:val="84"/>
          <w:lang w:eastAsia="zh-CN"/>
        </w:rPr>
        <w:t>第二部分</w:t>
      </w:r>
    </w:p>
    <w:p>
      <w:pPr>
        <w:numPr>
          <w:ilvl w:val="0"/>
          <w:numId w:val="0"/>
        </w:numPr>
        <w:spacing w:line="360" w:lineRule="auto"/>
        <w:jc w:val="center"/>
        <w:outlineLvl w:val="0"/>
        <w:rPr>
          <w:rFonts w:hint="eastAsia" w:ascii="Times New Roman" w:hAnsi="Times New Roman" w:eastAsia="仿宋" w:cs="Times New Roman"/>
          <w:b/>
          <w:bCs/>
          <w:color w:val="auto"/>
          <w:sz w:val="84"/>
          <w:szCs w:val="84"/>
          <w:lang w:eastAsia="zh-CN"/>
        </w:rPr>
      </w:pPr>
      <w:r>
        <w:rPr>
          <w:rFonts w:hint="eastAsia" w:ascii="Times New Roman" w:hAnsi="Times New Roman" w:eastAsia="仿宋" w:cs="Times New Roman"/>
          <w:b/>
          <w:bCs/>
          <w:color w:val="auto"/>
          <w:sz w:val="84"/>
          <w:szCs w:val="84"/>
          <w:lang w:eastAsia="zh-CN"/>
        </w:rPr>
        <w:t>环境应急资源调查报告</w:t>
      </w:r>
      <w:bookmarkEnd w:id="119"/>
    </w:p>
    <w:p>
      <w:pPr>
        <w:pStyle w:val="8"/>
        <w:spacing w:beforeLines="50" w:afterLines="50" w:line="240" w:lineRule="auto"/>
        <w:ind w:firstLine="560"/>
        <w:rPr>
          <w:rFonts w:ascii="Times New Roman" w:eastAsia="仿宋"/>
          <w:color w:val="auto"/>
          <w:szCs w:val="28"/>
        </w:rPr>
        <w:sectPr>
          <w:headerReference r:id="rId6" w:type="default"/>
          <w:footerReference r:id="rId7" w:type="default"/>
          <w:pgSz w:w="11906" w:h="16838"/>
          <w:pgMar w:top="1440" w:right="1463" w:bottom="1440" w:left="1463"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8"/>
        <w:spacing w:beforeLines="50" w:afterLines="50" w:line="240" w:lineRule="auto"/>
        <w:ind w:firstLine="560"/>
        <w:outlineLvl w:val="0"/>
        <w:rPr>
          <w:rFonts w:ascii="Times New Roman" w:eastAsia="仿宋"/>
          <w:color w:val="auto"/>
          <w:szCs w:val="28"/>
        </w:rPr>
      </w:pPr>
    </w:p>
    <w:p>
      <w:pPr>
        <w:pStyle w:val="4"/>
        <w:keepNext/>
        <w:keepLines/>
        <w:widowControl w:val="0"/>
        <w:wordWrap/>
        <w:adjustRightInd w:val="0"/>
        <w:snapToGrid w:val="0"/>
        <w:spacing w:before="0" w:beforeAutospacing="0" w:line="360" w:lineRule="auto"/>
        <w:ind w:left="0"/>
        <w:jc w:val="both"/>
        <w:textAlignment w:val="auto"/>
        <w:outlineLvl w:val="0"/>
        <w:rPr>
          <w:rFonts w:hint="eastAsia" w:ascii="仿宋" w:hAnsi="仿宋" w:eastAsia="仿宋" w:cs="仿宋"/>
          <w:b/>
          <w:bCs w:val="0"/>
          <w:color w:val="auto"/>
          <w:sz w:val="32"/>
          <w:szCs w:val="32"/>
        </w:rPr>
      </w:pPr>
      <w:bookmarkStart w:id="120" w:name="_Toc516866345"/>
      <w:bookmarkStart w:id="121" w:name="_Toc25311"/>
      <w:r>
        <w:rPr>
          <w:rFonts w:hint="eastAsia" w:ascii="仿宋" w:hAnsi="仿宋" w:eastAsia="仿宋" w:cs="仿宋"/>
          <w:b/>
          <w:bCs w:val="0"/>
          <w:color w:val="auto"/>
          <w:sz w:val="32"/>
          <w:szCs w:val="32"/>
        </w:rPr>
        <w:t>1应急资源调查的目的</w:t>
      </w:r>
      <w:bookmarkEnd w:id="120"/>
      <w:bookmarkEnd w:id="121"/>
    </w:p>
    <w:p>
      <w:pPr>
        <w:widowControl/>
        <w:wordWrap/>
        <w:snapToGrid w:val="0"/>
        <w:spacing w:beforeAutospacing="0" w:line="360" w:lineRule="auto"/>
        <w:ind w:firstLine="560" w:firstLineChars="200"/>
        <w:jc w:val="left"/>
        <w:textAlignment w:val="auto"/>
        <w:rPr>
          <w:rFonts w:hint="eastAsia" w:ascii="Times New Roman" w:hAnsi="Times New Roman" w:eastAsia="仿宋" w:cs="Times New Roman"/>
          <w:color w:val="auto"/>
          <w:kern w:val="0"/>
          <w:sz w:val="28"/>
          <w:szCs w:val="28"/>
        </w:rPr>
      </w:pPr>
      <w:r>
        <w:rPr>
          <w:rFonts w:hint="eastAsia" w:ascii="Times New Roman" w:hAnsi="Times New Roman" w:eastAsia="仿宋" w:cs="Times New Roman"/>
          <w:color w:val="auto"/>
          <w:kern w:val="0"/>
          <w:sz w:val="28"/>
          <w:szCs w:val="28"/>
        </w:rPr>
        <w:t>贯彻落实“安全第一、预防为主、综合治理”的安全生产方针，确保企业在发生生产安全事故后能迅速、有序有效地开展应急处置行动，最大可能避免因事故对人员、设备、财产等造成的伤害和损失，进一步提高对各类生产安全事故的应急处理能力，确保应急资源满足企业需要，根据《生产安全事故应急预案管理办法》（国家安全生产监督管理总局第 88 号令，2016年7月1日最新修订）第十条“编制应急预案前，编制单位应当进行事故风险评估和应急资源调查”、《生产经营单位生产安全事故应急预案编制导则》（GB/T29639--2013） 等文件规定，结合企业实际，编制了编制了江苏超力建材科技有限公司突发环境事件应急资源调查报告。</w:t>
      </w:r>
    </w:p>
    <w:p>
      <w:pPr>
        <w:pStyle w:val="4"/>
        <w:keepNext/>
        <w:keepLines/>
        <w:widowControl w:val="0"/>
        <w:wordWrap/>
        <w:adjustRightInd w:val="0"/>
        <w:snapToGrid w:val="0"/>
        <w:spacing w:before="0" w:beforeAutospacing="0" w:line="360" w:lineRule="auto"/>
        <w:ind w:left="0"/>
        <w:jc w:val="both"/>
        <w:textAlignment w:val="auto"/>
        <w:outlineLvl w:val="0"/>
        <w:rPr>
          <w:rFonts w:hint="eastAsia" w:ascii="仿宋" w:hAnsi="仿宋" w:eastAsia="仿宋" w:cs="仿宋"/>
          <w:b/>
          <w:bCs w:val="0"/>
          <w:color w:val="auto"/>
          <w:sz w:val="32"/>
          <w:szCs w:val="32"/>
          <w:lang w:eastAsia="zh-CN"/>
        </w:rPr>
      </w:pPr>
      <w:bookmarkStart w:id="122" w:name="_Toc25177"/>
      <w:r>
        <w:rPr>
          <w:rFonts w:hint="eastAsia" w:ascii="仿宋" w:hAnsi="仿宋" w:eastAsia="仿宋" w:cs="仿宋"/>
          <w:b/>
          <w:bCs w:val="0"/>
          <w:color w:val="auto"/>
          <w:sz w:val="32"/>
          <w:szCs w:val="32"/>
          <w:lang w:val="en-US" w:eastAsia="zh-CN"/>
        </w:rPr>
        <w:t xml:space="preserve">2 </w:t>
      </w:r>
      <w:r>
        <w:rPr>
          <w:rFonts w:hint="eastAsia" w:cs="仿宋"/>
          <w:b/>
          <w:bCs w:val="0"/>
          <w:color w:val="auto"/>
          <w:sz w:val="32"/>
          <w:szCs w:val="32"/>
          <w:lang w:eastAsia="zh-CN"/>
        </w:rPr>
        <w:t>江苏超力建材科技</w:t>
      </w:r>
      <w:r>
        <w:rPr>
          <w:rFonts w:hint="default" w:ascii="仿宋" w:hAnsi="仿宋" w:eastAsia="仿宋" w:cs="仿宋"/>
          <w:b/>
          <w:bCs w:val="0"/>
          <w:color w:val="auto"/>
          <w:sz w:val="32"/>
          <w:szCs w:val="32"/>
        </w:rPr>
        <w:t>有限公司</w:t>
      </w:r>
      <w:r>
        <w:rPr>
          <w:rFonts w:hint="eastAsia" w:ascii="仿宋" w:hAnsi="仿宋" w:eastAsia="仿宋" w:cs="仿宋"/>
          <w:b/>
          <w:bCs w:val="0"/>
          <w:color w:val="auto"/>
          <w:sz w:val="32"/>
          <w:szCs w:val="32"/>
        </w:rPr>
        <w:t>环境应急资源调查报告</w:t>
      </w:r>
      <w:r>
        <w:rPr>
          <w:rFonts w:hint="eastAsia" w:ascii="仿宋" w:hAnsi="仿宋" w:eastAsia="仿宋" w:cs="仿宋"/>
          <w:b/>
          <w:bCs w:val="0"/>
          <w:color w:val="auto"/>
          <w:sz w:val="32"/>
          <w:szCs w:val="32"/>
          <w:lang w:eastAsia="zh-CN"/>
        </w:rPr>
        <w:t>表</w:t>
      </w:r>
      <w:bookmarkEnd w:id="122"/>
    </w:p>
    <w:tbl>
      <w:tblPr>
        <w:tblStyle w:val="21"/>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2936"/>
        <w:gridCol w:w="2122"/>
        <w:gridCol w:w="22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vAlign w:val="center"/>
          </w:tcPr>
          <w:p>
            <w:pPr>
              <w:numPr>
                <w:ilvl w:val="0"/>
                <w:numId w:val="1"/>
              </w:numPr>
              <w:adjustRightInd w:val="0"/>
              <w:snapToGrid w:val="0"/>
              <w:spacing w:line="360" w:lineRule="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rPr>
              <w:t>调查概述</w:t>
            </w:r>
          </w:p>
          <w:p>
            <w:pPr>
              <w:widowControl/>
              <w:spacing w:line="360" w:lineRule="auto"/>
              <w:jc w:val="left"/>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color w:val="auto"/>
                <w:kern w:val="0"/>
                <w:sz w:val="24"/>
                <w:szCs w:val="24"/>
                <w:lang w:val="en-US" w:eastAsia="zh-CN"/>
              </w:rPr>
              <w:t xml:space="preserve"> </w:t>
            </w:r>
            <w:r>
              <w:rPr>
                <w:rFonts w:hint="default" w:ascii="Times New Roman" w:hAnsi="仿宋" w:eastAsia="仿宋" w:cs="Times New Roman"/>
                <w:color w:val="auto"/>
                <w:sz w:val="28"/>
                <w:szCs w:val="28"/>
                <w:lang w:val="en-US" w:eastAsia="zh-CN"/>
              </w:rPr>
              <w:t xml:space="preserve">  2019年</w:t>
            </w:r>
            <w:r>
              <w:rPr>
                <w:rFonts w:hint="eastAsia" w:ascii="Times New Roman" w:hAnsi="仿宋" w:eastAsia="仿宋" w:cs="Times New Roman"/>
                <w:color w:val="auto"/>
                <w:sz w:val="28"/>
                <w:szCs w:val="28"/>
                <w:lang w:val="en-US" w:eastAsia="zh-CN"/>
              </w:rPr>
              <w:t>12</w:t>
            </w:r>
            <w:r>
              <w:rPr>
                <w:rFonts w:hint="default" w:ascii="Times New Roman" w:hAnsi="仿宋" w:eastAsia="仿宋" w:cs="Times New Roman"/>
                <w:color w:val="auto"/>
                <w:sz w:val="28"/>
                <w:szCs w:val="28"/>
                <w:lang w:val="en-US" w:eastAsia="zh-CN"/>
              </w:rPr>
              <w:t>月2日开展环境风险应急资源调查工作，调查主体为江苏超力建材科技有限公司，调查对象为本公司环境应急资源。</w:t>
            </w:r>
          </w:p>
          <w:p>
            <w:pPr>
              <w:snapToGrid w:val="0"/>
              <w:spacing w:line="360" w:lineRule="auto"/>
              <w:ind w:firstLine="560" w:firstLineChars="200"/>
              <w:rPr>
                <w:rFonts w:hint="eastAsia" w:ascii="Times New Roman" w:hAnsi="仿宋" w:eastAsia="仿宋" w:cs="Times New Roman"/>
                <w:color w:val="auto"/>
                <w:sz w:val="28"/>
                <w:szCs w:val="28"/>
              </w:rPr>
            </w:pPr>
            <w:r>
              <w:rPr>
                <w:rFonts w:hint="eastAsia" w:ascii="Times New Roman" w:hAnsi="仿宋" w:eastAsia="仿宋" w:cs="Times New Roman"/>
                <w:color w:val="auto"/>
                <w:sz w:val="28"/>
                <w:szCs w:val="28"/>
              </w:rPr>
              <w:t>江苏超力建材科技有限公司（以下简称“该公司”）老厂区位于徐州经济开发区螺山路26号，主要从事建筑材料及建工建材用特殊化学助剂的技术研发、生产、销售、技术咨询；公路养护；自营和代理各类商品和技术的进出口业务。主要产品为年产3000吨干混砂浆和年产5000吨砼外加剂。</w:t>
            </w:r>
          </w:p>
          <w:p>
            <w:pPr>
              <w:snapToGrid w:val="0"/>
              <w:spacing w:line="360" w:lineRule="auto"/>
              <w:ind w:firstLine="560" w:firstLineChars="200"/>
              <w:rPr>
                <w:rFonts w:hint="eastAsia" w:ascii="Times New Roman" w:hAnsi="仿宋" w:eastAsia="仿宋" w:cs="Times New Roman"/>
                <w:color w:val="auto"/>
                <w:sz w:val="28"/>
                <w:szCs w:val="28"/>
              </w:rPr>
            </w:pPr>
            <w:r>
              <w:rPr>
                <w:rFonts w:hint="eastAsia" w:ascii="Times New Roman" w:hAnsi="仿宋" w:eastAsia="仿宋" w:cs="Times New Roman"/>
                <w:color w:val="auto"/>
                <w:sz w:val="28"/>
                <w:szCs w:val="28"/>
              </w:rPr>
              <w:t>该公司在原厂区保留年产3000吨干混砂浆生产项目的基础上，将砼外加剂生产项目由徐州经济开发区螺山路26号搬迁至贾汪化工产业园区超越路南侧、诺恩路西侧，投资30000万元建设年产20万吨聚羧酸系混凝土外加剂异地搬迁技改项目，建设聚羧酸减水剂生产线3条。占地面积54.6亩，建筑面积25774m</w:t>
            </w:r>
            <w:r>
              <w:rPr>
                <w:rFonts w:hint="eastAsia" w:ascii="Times New Roman" w:hAnsi="仿宋" w:eastAsia="仿宋" w:cs="Times New Roman"/>
                <w:color w:val="auto"/>
                <w:sz w:val="28"/>
                <w:szCs w:val="28"/>
                <w:vertAlign w:val="superscript"/>
              </w:rPr>
              <w:t>2</w:t>
            </w:r>
            <w:r>
              <w:rPr>
                <w:rFonts w:hint="eastAsia" w:ascii="Times New Roman" w:hAnsi="仿宋" w:eastAsia="仿宋" w:cs="Times New Roman"/>
                <w:color w:val="auto"/>
                <w:sz w:val="28"/>
                <w:szCs w:val="28"/>
              </w:rPr>
              <w:t>，职工105人。企业基本情况见下表1。</w:t>
            </w:r>
          </w:p>
          <w:p>
            <w:pPr>
              <w:snapToGrid w:val="0"/>
              <w:spacing w:line="360" w:lineRule="auto"/>
              <w:ind w:firstLine="560" w:firstLineChars="200"/>
              <w:rPr>
                <w:rFonts w:hint="eastAsia" w:ascii="Times New Roman" w:hAnsi="仿宋" w:eastAsia="仿宋" w:cs="Times New Roman"/>
                <w:color w:val="auto"/>
                <w:sz w:val="28"/>
                <w:szCs w:val="28"/>
              </w:rPr>
            </w:pPr>
            <w:r>
              <w:rPr>
                <w:rFonts w:hint="eastAsia" w:ascii="Times New Roman" w:hAnsi="仿宋" w:eastAsia="仿宋" w:cs="Times New Roman"/>
                <w:color w:val="auto"/>
                <w:sz w:val="28"/>
                <w:szCs w:val="28"/>
              </w:rPr>
              <w:t>江苏超力建材科技有限公司年产20万吨聚羧酸系混凝土外加剂异地搬迁技改项目取得了徐州市经济和信息化委员会</w:t>
            </w:r>
            <w:r>
              <w:rPr>
                <w:rFonts w:hint="eastAsia" w:ascii="Times New Roman" w:hAnsi="仿宋" w:eastAsia="仿宋" w:cs="Times New Roman"/>
                <w:color w:val="auto"/>
                <w:sz w:val="28"/>
                <w:szCs w:val="28"/>
                <w:lang w:eastAsia="zh-CN"/>
              </w:rPr>
              <w:t>出具的</w:t>
            </w:r>
            <w:r>
              <w:rPr>
                <w:rFonts w:hint="eastAsia" w:ascii="Times New Roman" w:hAnsi="仿宋" w:eastAsia="仿宋" w:cs="Times New Roman"/>
                <w:color w:val="auto"/>
                <w:sz w:val="28"/>
                <w:szCs w:val="28"/>
              </w:rPr>
              <w:t>备案证</w:t>
            </w:r>
            <w:r>
              <w:rPr>
                <w:rFonts w:ascii="Times New Roman" w:hAnsi="仿宋" w:eastAsia="仿宋" w:cs="Times New Roman"/>
                <w:color w:val="auto"/>
                <w:sz w:val="28"/>
                <w:szCs w:val="28"/>
              </w:rPr>
              <w:t>徐州市</w:t>
            </w:r>
            <w:r>
              <w:rPr>
                <w:rFonts w:hint="eastAsia" w:ascii="Times New Roman" w:hAnsi="仿宋" w:eastAsia="仿宋" w:cs="Times New Roman"/>
                <w:color w:val="auto"/>
                <w:sz w:val="28"/>
                <w:szCs w:val="28"/>
              </w:rPr>
              <w:t>经济技术开发区管委会</w:t>
            </w:r>
            <w:r>
              <w:rPr>
                <w:rFonts w:ascii="Times New Roman" w:hAnsi="仿宋" w:eastAsia="仿宋" w:cs="Times New Roman"/>
                <w:color w:val="auto"/>
                <w:sz w:val="28"/>
                <w:szCs w:val="28"/>
              </w:rPr>
              <w:t>备案（</w:t>
            </w:r>
            <w:r>
              <w:rPr>
                <w:rFonts w:hint="eastAsia" w:ascii="Times New Roman" w:hAnsi="仿宋" w:eastAsia="仿宋" w:cs="Times New Roman"/>
                <w:color w:val="auto"/>
                <w:sz w:val="28"/>
                <w:szCs w:val="28"/>
              </w:rPr>
              <w:t>徐经信备[2017]2号））。</w:t>
            </w:r>
            <w:r>
              <w:rPr>
                <w:rFonts w:ascii="Times New Roman" w:hAnsi="仿宋" w:eastAsia="仿宋" w:cs="Times New Roman"/>
                <w:color w:val="auto"/>
                <w:sz w:val="28"/>
                <w:szCs w:val="28"/>
              </w:rPr>
              <w:t>201</w:t>
            </w:r>
            <w:r>
              <w:rPr>
                <w:rFonts w:hint="eastAsia" w:ascii="Times New Roman" w:hAnsi="仿宋" w:eastAsia="仿宋" w:cs="Times New Roman"/>
                <w:color w:val="auto"/>
                <w:sz w:val="28"/>
                <w:szCs w:val="28"/>
                <w:lang w:val="en-US" w:eastAsia="zh-CN"/>
              </w:rPr>
              <w:t>8</w:t>
            </w:r>
            <w:r>
              <w:rPr>
                <w:rFonts w:ascii="Times New Roman" w:hAnsi="仿宋" w:eastAsia="仿宋" w:cs="Times New Roman"/>
                <w:color w:val="auto"/>
                <w:sz w:val="28"/>
                <w:szCs w:val="28"/>
              </w:rPr>
              <w:t>年</w:t>
            </w:r>
            <w:r>
              <w:rPr>
                <w:rFonts w:hint="eastAsia" w:ascii="Times New Roman" w:hAnsi="仿宋" w:eastAsia="仿宋" w:cs="Times New Roman"/>
                <w:color w:val="auto"/>
                <w:sz w:val="28"/>
                <w:szCs w:val="28"/>
              </w:rPr>
              <w:t>4</w:t>
            </w:r>
            <w:r>
              <w:rPr>
                <w:rFonts w:ascii="Times New Roman" w:hAnsi="仿宋" w:eastAsia="仿宋" w:cs="Times New Roman"/>
                <w:color w:val="auto"/>
                <w:sz w:val="28"/>
                <w:szCs w:val="28"/>
              </w:rPr>
              <w:t>月由</w:t>
            </w:r>
            <w:r>
              <w:rPr>
                <w:rFonts w:hint="eastAsia" w:ascii="Times New Roman" w:hAnsi="仿宋" w:eastAsia="仿宋" w:cs="Times New Roman"/>
                <w:color w:val="auto"/>
                <w:sz w:val="28"/>
                <w:szCs w:val="28"/>
              </w:rPr>
              <w:t>江苏诚智工程设计咨询有限公司编制</w:t>
            </w:r>
            <w:r>
              <w:rPr>
                <w:rFonts w:ascii="Times New Roman" w:hAnsi="仿宋" w:eastAsia="仿宋" w:cs="Times New Roman"/>
                <w:color w:val="auto"/>
                <w:sz w:val="28"/>
                <w:szCs w:val="28"/>
              </w:rPr>
              <w:t>完成了《</w:t>
            </w:r>
            <w:r>
              <w:rPr>
                <w:rFonts w:hint="eastAsia" w:ascii="Times New Roman" w:hAnsi="仿宋" w:eastAsia="仿宋" w:cs="Times New Roman"/>
                <w:color w:val="auto"/>
                <w:sz w:val="28"/>
                <w:szCs w:val="28"/>
              </w:rPr>
              <w:t>江苏超力建材科技有限公司年产20万吨聚羧酸系混凝土外加剂异地搬迁技改项目环</w:t>
            </w:r>
            <w:r>
              <w:rPr>
                <w:rFonts w:ascii="Times New Roman" w:hAnsi="仿宋" w:eastAsia="仿宋" w:cs="Times New Roman"/>
                <w:color w:val="auto"/>
                <w:sz w:val="28"/>
                <w:szCs w:val="28"/>
              </w:rPr>
              <w:t>境影响报告</w:t>
            </w:r>
            <w:r>
              <w:rPr>
                <w:rFonts w:hint="eastAsia" w:ascii="Times New Roman" w:hAnsi="仿宋" w:eastAsia="仿宋" w:cs="Times New Roman"/>
                <w:color w:val="auto"/>
                <w:sz w:val="28"/>
                <w:szCs w:val="28"/>
                <w:lang w:eastAsia="zh-CN"/>
              </w:rPr>
              <w:t>书</w:t>
            </w:r>
            <w:r>
              <w:rPr>
                <w:rFonts w:ascii="Times New Roman" w:hAnsi="仿宋" w:eastAsia="仿宋" w:cs="Times New Roman"/>
                <w:color w:val="auto"/>
                <w:sz w:val="28"/>
                <w:szCs w:val="28"/>
              </w:rPr>
              <w:t>》，201</w:t>
            </w:r>
            <w:r>
              <w:rPr>
                <w:rFonts w:hint="eastAsia" w:ascii="Times New Roman" w:hAnsi="仿宋" w:eastAsia="仿宋" w:cs="Times New Roman"/>
                <w:color w:val="auto"/>
                <w:sz w:val="28"/>
                <w:szCs w:val="28"/>
                <w:lang w:val="en-US" w:eastAsia="zh-CN"/>
              </w:rPr>
              <w:t>8</w:t>
            </w:r>
            <w:r>
              <w:rPr>
                <w:rFonts w:ascii="Times New Roman" w:hAnsi="仿宋" w:eastAsia="仿宋" w:cs="Times New Roman"/>
                <w:color w:val="auto"/>
                <w:sz w:val="28"/>
                <w:szCs w:val="28"/>
              </w:rPr>
              <w:t>年</w:t>
            </w:r>
            <w:r>
              <w:rPr>
                <w:rFonts w:hint="eastAsia" w:ascii="Times New Roman" w:hAnsi="仿宋" w:eastAsia="仿宋" w:cs="Times New Roman"/>
                <w:color w:val="auto"/>
                <w:sz w:val="28"/>
                <w:szCs w:val="28"/>
                <w:lang w:val="en-US" w:eastAsia="zh-CN"/>
              </w:rPr>
              <w:t>12</w:t>
            </w:r>
            <w:r>
              <w:rPr>
                <w:rFonts w:ascii="Times New Roman" w:hAnsi="仿宋" w:eastAsia="仿宋" w:cs="Times New Roman"/>
                <w:color w:val="auto"/>
                <w:sz w:val="28"/>
                <w:szCs w:val="28"/>
              </w:rPr>
              <w:t>月</w:t>
            </w:r>
            <w:r>
              <w:rPr>
                <w:rFonts w:hint="eastAsia" w:ascii="Times New Roman" w:hAnsi="仿宋" w:eastAsia="仿宋" w:cs="Times New Roman"/>
                <w:color w:val="auto"/>
                <w:sz w:val="28"/>
                <w:szCs w:val="28"/>
                <w:lang w:val="en-US" w:eastAsia="zh-CN"/>
              </w:rPr>
              <w:t>7</w:t>
            </w:r>
            <w:r>
              <w:rPr>
                <w:rFonts w:ascii="Times New Roman" w:hAnsi="仿宋" w:eastAsia="仿宋" w:cs="Times New Roman"/>
                <w:color w:val="auto"/>
                <w:sz w:val="28"/>
                <w:szCs w:val="28"/>
              </w:rPr>
              <w:t>日取得</w:t>
            </w:r>
            <w:r>
              <w:rPr>
                <w:rFonts w:hint="eastAsia" w:ascii="Times New Roman" w:hAnsi="仿宋" w:eastAsia="仿宋" w:cs="Times New Roman"/>
                <w:color w:val="auto"/>
                <w:sz w:val="28"/>
                <w:szCs w:val="28"/>
              </w:rPr>
              <w:t>了</w:t>
            </w:r>
            <w:r>
              <w:rPr>
                <w:rFonts w:hint="eastAsia" w:ascii="Times New Roman" w:hAnsi="仿宋" w:eastAsia="仿宋" w:cs="Times New Roman"/>
                <w:color w:val="auto"/>
                <w:sz w:val="28"/>
                <w:szCs w:val="28"/>
                <w:lang w:eastAsia="zh-CN"/>
              </w:rPr>
              <w:t>徐州市环境保护局</w:t>
            </w:r>
            <w:r>
              <w:rPr>
                <w:rFonts w:ascii="Times New Roman" w:hAnsi="仿宋" w:eastAsia="仿宋" w:cs="Times New Roman"/>
                <w:color w:val="auto"/>
                <w:sz w:val="28"/>
                <w:szCs w:val="28"/>
              </w:rPr>
              <w:t>审批</w:t>
            </w:r>
            <w:r>
              <w:rPr>
                <w:rFonts w:hint="eastAsia" w:ascii="Times New Roman" w:hAnsi="仿宋" w:eastAsia="仿宋" w:cs="Times New Roman"/>
                <w:color w:val="auto"/>
                <w:sz w:val="28"/>
                <w:szCs w:val="28"/>
              </w:rPr>
              <w:t>意见</w:t>
            </w:r>
            <w:r>
              <w:rPr>
                <w:rFonts w:ascii="Times New Roman" w:hAnsi="仿宋" w:eastAsia="仿宋" w:cs="Times New Roman"/>
                <w:color w:val="auto"/>
                <w:sz w:val="28"/>
                <w:szCs w:val="28"/>
              </w:rPr>
              <w:t>（</w:t>
            </w:r>
            <w:r>
              <w:rPr>
                <w:rFonts w:hint="eastAsia" w:ascii="Times New Roman" w:hAnsi="仿宋" w:eastAsia="仿宋" w:cs="Times New Roman"/>
                <w:color w:val="auto"/>
                <w:sz w:val="28"/>
                <w:szCs w:val="28"/>
              </w:rPr>
              <w:t>徐环</w:t>
            </w:r>
            <w:r>
              <w:rPr>
                <w:rFonts w:hint="eastAsia" w:ascii="Times New Roman" w:hAnsi="仿宋" w:eastAsia="仿宋" w:cs="Times New Roman"/>
                <w:color w:val="auto"/>
                <w:sz w:val="28"/>
                <w:szCs w:val="28"/>
                <w:lang w:eastAsia="zh-CN"/>
              </w:rPr>
              <w:t>项书</w:t>
            </w:r>
            <w:r>
              <w:rPr>
                <w:rFonts w:hint="eastAsia" w:ascii="Times New Roman" w:hAnsi="仿宋" w:eastAsia="仿宋" w:cs="Times New Roman"/>
                <w:color w:val="auto"/>
                <w:sz w:val="28"/>
                <w:szCs w:val="28"/>
              </w:rPr>
              <w:t>[201</w:t>
            </w:r>
            <w:r>
              <w:rPr>
                <w:rFonts w:hint="eastAsia" w:ascii="Times New Roman" w:hAnsi="仿宋" w:eastAsia="仿宋" w:cs="Times New Roman"/>
                <w:color w:val="auto"/>
                <w:sz w:val="28"/>
                <w:szCs w:val="28"/>
                <w:lang w:val="en-US" w:eastAsia="zh-CN"/>
              </w:rPr>
              <w:t>8</w:t>
            </w:r>
            <w:r>
              <w:rPr>
                <w:rFonts w:hint="eastAsia" w:ascii="Times New Roman" w:hAnsi="仿宋" w:eastAsia="仿宋" w:cs="Times New Roman"/>
                <w:color w:val="auto"/>
                <w:sz w:val="28"/>
                <w:szCs w:val="28"/>
              </w:rPr>
              <w:t>]</w:t>
            </w:r>
            <w:r>
              <w:rPr>
                <w:rFonts w:hint="eastAsia" w:ascii="Times New Roman" w:hAnsi="仿宋" w:eastAsia="仿宋" w:cs="Times New Roman"/>
                <w:color w:val="auto"/>
                <w:sz w:val="28"/>
                <w:szCs w:val="28"/>
                <w:lang w:val="en-US" w:eastAsia="zh-CN"/>
              </w:rPr>
              <w:t>6</w:t>
            </w:r>
            <w:r>
              <w:rPr>
                <w:rFonts w:hint="eastAsia" w:ascii="Times New Roman" w:hAnsi="仿宋" w:eastAsia="仿宋" w:cs="Times New Roman"/>
                <w:color w:val="auto"/>
                <w:sz w:val="28"/>
                <w:szCs w:val="28"/>
              </w:rPr>
              <w:t>号</w:t>
            </w:r>
            <w:r>
              <w:rPr>
                <w:rFonts w:ascii="Times New Roman" w:hAnsi="仿宋" w:eastAsia="仿宋" w:cs="Times New Roman"/>
                <w:color w:val="auto"/>
                <w:sz w:val="28"/>
                <w:szCs w:val="28"/>
              </w:rPr>
              <w:t>）。</w:t>
            </w:r>
            <w:r>
              <w:rPr>
                <w:rFonts w:ascii="Times New Roman" w:hAnsi="Times New Roman" w:eastAsia="宋体"/>
                <w:color w:val="auto"/>
                <w:kern w:val="2"/>
                <w:sz w:val="24"/>
                <w:szCs w:val="24"/>
              </w:rPr>
              <w:t xml:space="preserve"> </w:t>
            </w:r>
            <w:r>
              <w:rPr>
                <w:rFonts w:ascii="Times New Roman" w:hAnsi="Times New Roman" w:eastAsia="宋体"/>
                <w:color w:val="auto"/>
                <w:kern w:val="2"/>
                <w:sz w:val="24"/>
                <w:szCs w:val="24"/>
              </w:rPr>
              <w:t xml:space="preserve">       </w:t>
            </w:r>
          </w:p>
          <w:p>
            <w:pPr>
              <w:widowControl w:val="0"/>
              <w:wordWrap/>
              <w:adjustRightInd/>
              <w:snapToGrid w:val="0"/>
              <w:spacing w:line="240" w:lineRule="auto"/>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 xml:space="preserve">表 </w:t>
            </w:r>
            <w:r>
              <w:rPr>
                <w:rFonts w:hint="eastAsia" w:ascii="Times New Roman" w:hAnsi="Times New Roman" w:eastAsia="仿宋" w:cs="Times New Roman"/>
                <w:b/>
                <w:bCs/>
                <w:color w:val="auto"/>
                <w:sz w:val="24"/>
                <w:szCs w:val="24"/>
                <w:lang w:val="en-US" w:eastAsia="zh-CN"/>
              </w:rPr>
              <w:t>1</w:t>
            </w:r>
            <w:r>
              <w:rPr>
                <w:rFonts w:hint="default" w:ascii="Times New Roman" w:hAnsi="Times New Roman" w:eastAsia="仿宋" w:cs="Times New Roman"/>
                <w:b/>
                <w:bCs/>
                <w:color w:val="auto"/>
                <w:sz w:val="24"/>
                <w:szCs w:val="24"/>
              </w:rPr>
              <w:t xml:space="preserve"> 企业基本情况</w:t>
            </w:r>
          </w:p>
          <w:tbl>
            <w:tblPr>
              <w:tblStyle w:val="21"/>
              <w:tblW w:w="89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5"/>
              <w:gridCol w:w="3118"/>
              <w:gridCol w:w="1943"/>
              <w:gridCol w:w="23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单位名称</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江苏超力建材科技有限公司</w:t>
                  </w:r>
                </w:p>
              </w:tc>
              <w:tc>
                <w:tcPr>
                  <w:tcW w:w="194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统一社会信用代码</w:t>
                  </w:r>
                </w:p>
              </w:tc>
              <w:tc>
                <w:tcPr>
                  <w:tcW w:w="235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913203017448466668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单位地址</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徐州工业园区超越大道南侧，中经四路西侧</w:t>
                  </w:r>
                </w:p>
              </w:tc>
              <w:tc>
                <w:tcPr>
                  <w:tcW w:w="19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所在区</w:t>
                  </w:r>
                </w:p>
              </w:tc>
              <w:tc>
                <w:tcPr>
                  <w:tcW w:w="23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贾汪区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所在开发区</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徐州工业园区</w:t>
                  </w:r>
                </w:p>
              </w:tc>
              <w:tc>
                <w:tcPr>
                  <w:tcW w:w="19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企业性质</w:t>
                  </w:r>
                </w:p>
              </w:tc>
              <w:tc>
                <w:tcPr>
                  <w:tcW w:w="23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法人代表</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韩慧龙</w:t>
                  </w:r>
                </w:p>
              </w:tc>
              <w:tc>
                <w:tcPr>
                  <w:tcW w:w="19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邮政编码</w:t>
                  </w:r>
                </w:p>
              </w:tc>
              <w:tc>
                <w:tcPr>
                  <w:tcW w:w="23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221003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占地面积</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54.6亩</w:t>
                  </w:r>
                </w:p>
              </w:tc>
              <w:tc>
                <w:tcPr>
                  <w:tcW w:w="19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经度坐标</w:t>
                  </w:r>
                </w:p>
              </w:tc>
              <w:tc>
                <w:tcPr>
                  <w:tcW w:w="23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117°25′18′′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职工人数</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105</w:t>
                  </w:r>
                </w:p>
              </w:tc>
              <w:tc>
                <w:tcPr>
                  <w:tcW w:w="19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纬度坐标</w:t>
                  </w:r>
                </w:p>
              </w:tc>
              <w:tc>
                <w:tcPr>
                  <w:tcW w:w="23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34°23′58′′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企业规模</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小型</w:t>
                  </w:r>
                </w:p>
              </w:tc>
              <w:tc>
                <w:tcPr>
                  <w:tcW w:w="19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所属行业</w:t>
                  </w:r>
                </w:p>
              </w:tc>
              <w:tc>
                <w:tcPr>
                  <w:tcW w:w="23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专用化学品制造业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主要产品</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聚羧酸系外加剂</w:t>
                  </w:r>
                </w:p>
              </w:tc>
              <w:tc>
                <w:tcPr>
                  <w:tcW w:w="19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建厂年月</w:t>
                  </w:r>
                </w:p>
              </w:tc>
              <w:tc>
                <w:tcPr>
                  <w:tcW w:w="23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15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联系人</w:t>
                  </w:r>
                </w:p>
              </w:tc>
              <w:tc>
                <w:tcPr>
                  <w:tcW w:w="31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童媛</w:t>
                  </w:r>
                </w:p>
              </w:tc>
              <w:tc>
                <w:tcPr>
                  <w:tcW w:w="19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联系电话</w:t>
                  </w:r>
                </w:p>
              </w:tc>
              <w:tc>
                <w:tcPr>
                  <w:tcW w:w="23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15150079997</w:t>
                  </w:r>
                </w:p>
              </w:tc>
            </w:tr>
          </w:tbl>
          <w:p>
            <w:pPr>
              <w:widowControl/>
              <w:jc w:val="left"/>
              <w:rPr>
                <w:rFonts w:hint="default" w:ascii="宋体" w:hAnsi="宋体" w:eastAsia="宋体" w:cs="宋体"/>
                <w:b w:val="0"/>
                <w:bCs w:val="0"/>
                <w:color w:val="auto"/>
                <w:sz w:val="24"/>
                <w:szCs w:val="24"/>
                <w:lang w:val="en-US" w:eastAsia="zh-CN"/>
              </w:rPr>
            </w:pPr>
          </w:p>
          <w:p>
            <w:pPr>
              <w:numPr>
                <w:ilvl w:val="0"/>
                <w:numId w:val="0"/>
              </w:numPr>
              <w:adjustRightInd w:val="0"/>
              <w:snapToGrid w:val="0"/>
              <w:rPr>
                <w:rFonts w:hint="eastAsia" w:ascii="黑体" w:hAnsi="黑体" w:eastAsia="黑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调查开始时间</w:t>
            </w:r>
          </w:p>
        </w:tc>
        <w:tc>
          <w:tcPr>
            <w:tcW w:w="2936"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2019</w:t>
            </w:r>
            <w:r>
              <w:rPr>
                <w:rFonts w:hint="default" w:ascii="Times New Roman" w:hAnsi="Times New Roman" w:eastAsia="仿宋" w:cs="Times New Roman"/>
                <w:color w:val="auto"/>
                <w:sz w:val="21"/>
                <w:szCs w:val="21"/>
              </w:rPr>
              <w:t>年</w:t>
            </w:r>
            <w:r>
              <w:rPr>
                <w:rFonts w:hint="eastAsia" w:ascii="Times New Roman" w:hAnsi="Times New Roman" w:eastAsia="仿宋" w:cs="Times New Roman"/>
                <w:color w:val="auto"/>
                <w:sz w:val="21"/>
                <w:szCs w:val="21"/>
                <w:lang w:val="en-US" w:eastAsia="zh-CN"/>
              </w:rPr>
              <w:t>12</w:t>
            </w:r>
            <w:r>
              <w:rPr>
                <w:rFonts w:hint="default" w:ascii="Times New Roman" w:hAnsi="Times New Roman" w:eastAsia="仿宋" w:cs="Times New Roman"/>
                <w:color w:val="auto"/>
                <w:sz w:val="21"/>
                <w:szCs w:val="21"/>
              </w:rPr>
              <w:t>月</w:t>
            </w:r>
            <w:r>
              <w:rPr>
                <w:rFonts w:hint="default" w:ascii="Times New Roman" w:hAnsi="Times New Roman" w:eastAsia="仿宋" w:cs="Times New Roman"/>
                <w:color w:val="auto"/>
                <w:sz w:val="21"/>
                <w:szCs w:val="21"/>
                <w:lang w:val="en-US" w:eastAsia="zh-CN"/>
              </w:rPr>
              <w:t>2</w:t>
            </w:r>
            <w:r>
              <w:rPr>
                <w:rFonts w:hint="default" w:ascii="Times New Roman" w:hAnsi="Times New Roman" w:eastAsia="仿宋" w:cs="Times New Roman"/>
                <w:color w:val="auto"/>
                <w:sz w:val="21"/>
                <w:szCs w:val="21"/>
              </w:rPr>
              <w:t>日</w:t>
            </w:r>
          </w:p>
        </w:tc>
        <w:tc>
          <w:tcPr>
            <w:tcW w:w="2122"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调查结束时间</w:t>
            </w:r>
          </w:p>
        </w:tc>
        <w:tc>
          <w:tcPr>
            <w:tcW w:w="227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2019</w:t>
            </w:r>
            <w:r>
              <w:rPr>
                <w:rFonts w:hint="default" w:ascii="Times New Roman" w:hAnsi="Times New Roman" w:eastAsia="仿宋" w:cs="Times New Roman"/>
                <w:color w:val="auto"/>
                <w:sz w:val="21"/>
                <w:szCs w:val="21"/>
              </w:rPr>
              <w:t xml:space="preserve"> 年 </w:t>
            </w:r>
            <w:r>
              <w:rPr>
                <w:rFonts w:hint="eastAsia" w:ascii="Times New Roman" w:hAnsi="Times New Roman" w:eastAsia="仿宋" w:cs="Times New Roman"/>
                <w:color w:val="auto"/>
                <w:sz w:val="21"/>
                <w:szCs w:val="21"/>
                <w:lang w:val="en-US" w:eastAsia="zh-CN"/>
              </w:rPr>
              <w:t>12</w:t>
            </w:r>
            <w:r>
              <w:rPr>
                <w:rFonts w:hint="default" w:ascii="Times New Roman" w:hAnsi="Times New Roman" w:eastAsia="仿宋" w:cs="Times New Roman"/>
                <w:color w:val="auto"/>
                <w:sz w:val="21"/>
                <w:szCs w:val="21"/>
              </w:rPr>
              <w:t>月</w:t>
            </w:r>
            <w:r>
              <w:rPr>
                <w:rFonts w:hint="default" w:ascii="Times New Roman" w:hAnsi="Times New Roman" w:eastAsia="仿宋" w:cs="Times New Roman"/>
                <w:color w:val="auto"/>
                <w:sz w:val="21"/>
                <w:szCs w:val="21"/>
                <w:lang w:val="en-US" w:eastAsia="zh-CN"/>
              </w:rPr>
              <w:t>7</w:t>
            </w:r>
            <w:r>
              <w:rPr>
                <w:rFonts w:hint="default" w:ascii="Times New Roman" w:hAnsi="Times New Roman" w:eastAsia="仿宋" w:cs="Times New Roman"/>
                <w:color w:val="auto"/>
                <w:sz w:val="21"/>
                <w:szCs w:val="21"/>
              </w:rPr>
              <w:t xml:space="preserve">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调查负责人姓名</w:t>
            </w:r>
          </w:p>
        </w:tc>
        <w:tc>
          <w:tcPr>
            <w:tcW w:w="2936" w:type="dxa"/>
            <w:vAlign w:val="center"/>
          </w:tcPr>
          <w:p>
            <w:pPr>
              <w:adjustRightInd w:val="0"/>
              <w:snapToGrid w:val="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黄立军</w:t>
            </w:r>
          </w:p>
        </w:tc>
        <w:tc>
          <w:tcPr>
            <w:tcW w:w="2122"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调查联系人/电话</w:t>
            </w:r>
          </w:p>
        </w:tc>
        <w:tc>
          <w:tcPr>
            <w:tcW w:w="227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13852041875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vAlign w:val="center"/>
          </w:tcPr>
          <w:p>
            <w:pPr>
              <w:adjustRightInd w:val="0"/>
              <w:snapToGrid w:val="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调查过程</w:t>
            </w:r>
          </w:p>
        </w:tc>
        <w:tc>
          <w:tcPr>
            <w:tcW w:w="7332" w:type="dxa"/>
            <w:gridSpan w:val="3"/>
            <w:vAlign w:val="center"/>
          </w:tcPr>
          <w:p>
            <w:pPr>
              <w:widowControl w:val="0"/>
              <w:wordWrap/>
              <w:adjustRightInd/>
              <w:spacing w:line="500" w:lineRule="exact"/>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 xml:space="preserve">一、调查范围：本单位、重点联系单位在突发环境风险事件时，能够调用的用于封堵、吸附、个体防护、应急监测的应急资源。 </w:t>
            </w:r>
          </w:p>
          <w:p>
            <w:pPr>
              <w:widowControl w:val="0"/>
              <w:wordWrap/>
              <w:adjustRightInd/>
              <w:spacing w:line="500" w:lineRule="exact"/>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 xml:space="preserve">二、调查目的：促进环境应急预案和环境应急能力提升。 </w:t>
            </w:r>
          </w:p>
          <w:p>
            <w:pPr>
              <w:widowControl w:val="0"/>
              <w:wordWrap/>
              <w:adjustRightInd/>
              <w:spacing w:line="500" w:lineRule="exact"/>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 xml:space="preserve">三、调查原则：客观、专业、可靠。 </w:t>
            </w:r>
          </w:p>
          <w:p>
            <w:pPr>
              <w:widowControl w:val="0"/>
              <w:wordWrap/>
              <w:adjustRightInd/>
              <w:spacing w:line="500" w:lineRule="exact"/>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四、调查时间：2019年</w:t>
            </w:r>
            <w:r>
              <w:rPr>
                <w:rFonts w:hint="eastAsia" w:ascii="Times New Roman" w:hAnsi="Times New Roman" w:eastAsia="仿宋" w:cs="Times New Roman"/>
                <w:color w:val="auto"/>
                <w:sz w:val="24"/>
                <w:szCs w:val="24"/>
                <w:lang w:val="en-US" w:eastAsia="zh-CN"/>
              </w:rPr>
              <w:t>12</w:t>
            </w:r>
            <w:r>
              <w:rPr>
                <w:rFonts w:hint="default" w:ascii="Times New Roman" w:hAnsi="Times New Roman" w:eastAsia="仿宋" w:cs="Times New Roman"/>
                <w:color w:val="auto"/>
                <w:sz w:val="24"/>
                <w:szCs w:val="24"/>
                <w:lang w:val="en-US" w:eastAsia="zh-CN"/>
              </w:rPr>
              <w:t xml:space="preserve">月2日~7日 </w:t>
            </w:r>
          </w:p>
          <w:p>
            <w:pPr>
              <w:widowControl w:val="0"/>
              <w:wordWrap/>
              <w:adjustRightInd/>
              <w:spacing w:line="500" w:lineRule="exact"/>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 xml:space="preserve">五、调查过程： </w:t>
            </w:r>
          </w:p>
          <w:p>
            <w:pPr>
              <w:widowControl w:val="0"/>
              <w:wordWrap/>
              <w:adjustRightInd/>
              <w:spacing w:line="500" w:lineRule="exact"/>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5.1、</w:t>
            </w:r>
            <w:r>
              <w:rPr>
                <w:rFonts w:hint="eastAsia" w:ascii="Times New Roman" w:hAnsi="Times New Roman" w:eastAsia="仿宋" w:cs="Times New Roman"/>
                <w:color w:val="auto"/>
                <w:sz w:val="24"/>
                <w:szCs w:val="24"/>
                <w:lang w:val="en-US" w:eastAsia="zh-CN"/>
              </w:rPr>
              <w:t>12</w:t>
            </w:r>
            <w:r>
              <w:rPr>
                <w:rFonts w:hint="default" w:ascii="Times New Roman" w:hAnsi="Times New Roman" w:eastAsia="仿宋" w:cs="Times New Roman"/>
                <w:color w:val="auto"/>
                <w:sz w:val="24"/>
                <w:szCs w:val="24"/>
                <w:lang w:val="en-US" w:eastAsia="zh-CN"/>
              </w:rPr>
              <w:t>月2日 8:00-12:00 环境应急资源调查人员首先对公司应急物资库进行清点，核查应急物资库存情况，填写完成《企事业单位环境应急资源调查表》。14:00-17:00 向</w:t>
            </w:r>
            <w:r>
              <w:rPr>
                <w:rFonts w:hint="default" w:ascii="Times New Roman" w:hAnsi="Times New Roman" w:eastAsia="仿宋" w:cs="Times New Roman"/>
                <w:b w:val="0"/>
                <w:bCs w:val="0"/>
                <w:color w:val="auto"/>
                <w:sz w:val="24"/>
                <w:szCs w:val="24"/>
                <w:lang w:val="en-US" w:eastAsia="zh-CN"/>
              </w:rPr>
              <w:t>江苏徐海环境监测有限公司</w:t>
            </w:r>
            <w:r>
              <w:rPr>
                <w:rFonts w:hint="default" w:ascii="Times New Roman" w:hAnsi="Times New Roman" w:eastAsia="仿宋" w:cs="Times New Roman"/>
                <w:color w:val="auto"/>
                <w:sz w:val="24"/>
                <w:szCs w:val="24"/>
                <w:lang w:val="en-US" w:eastAsia="zh-CN"/>
              </w:rPr>
              <w:t>发放了环境应急资源调查表，</w:t>
            </w:r>
            <w:r>
              <w:rPr>
                <w:rFonts w:hint="default" w:ascii="Times New Roman" w:hAnsi="Times New Roman" w:eastAsia="仿宋" w:cs="Times New Roman"/>
                <w:b w:val="0"/>
                <w:bCs w:val="0"/>
                <w:color w:val="auto"/>
                <w:sz w:val="24"/>
                <w:szCs w:val="24"/>
                <w:lang w:val="en-US" w:eastAsia="zh-CN"/>
              </w:rPr>
              <w:t>江苏徐海环境监测有限公司</w:t>
            </w:r>
            <w:r>
              <w:rPr>
                <w:rFonts w:hint="default" w:ascii="Times New Roman" w:hAnsi="Times New Roman" w:eastAsia="仿宋" w:cs="Times New Roman"/>
                <w:color w:val="auto"/>
                <w:sz w:val="24"/>
                <w:szCs w:val="24"/>
                <w:lang w:val="en-US" w:eastAsia="zh-CN"/>
              </w:rPr>
              <w:t xml:space="preserve">填写完成《企事业单位环境应急资源调查表》，环境应急资源调查人员进行了复核。 </w:t>
            </w:r>
          </w:p>
          <w:p>
            <w:pPr>
              <w:widowControl w:val="0"/>
              <w:wordWrap/>
              <w:adjustRightInd/>
              <w:spacing w:line="500" w:lineRule="exact"/>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5.2、</w:t>
            </w:r>
            <w:r>
              <w:rPr>
                <w:rFonts w:hint="eastAsia" w:ascii="Times New Roman" w:hAnsi="Times New Roman" w:eastAsia="仿宋" w:cs="Times New Roman"/>
                <w:color w:val="auto"/>
                <w:sz w:val="24"/>
                <w:szCs w:val="24"/>
                <w:lang w:val="en-US" w:eastAsia="zh-CN"/>
              </w:rPr>
              <w:t>12</w:t>
            </w:r>
            <w:r>
              <w:rPr>
                <w:rFonts w:hint="default" w:ascii="Times New Roman" w:hAnsi="Times New Roman" w:eastAsia="仿宋" w:cs="Times New Roman"/>
                <w:color w:val="auto"/>
                <w:sz w:val="24"/>
                <w:szCs w:val="24"/>
                <w:lang w:val="en-US" w:eastAsia="zh-CN"/>
              </w:rPr>
              <w:t>月3日应急副总指挥黄立军对本公司、</w:t>
            </w:r>
            <w:r>
              <w:rPr>
                <w:rFonts w:hint="default" w:ascii="Times New Roman" w:hAnsi="Times New Roman" w:eastAsia="仿宋" w:cs="Times New Roman"/>
                <w:b w:val="0"/>
                <w:bCs w:val="0"/>
                <w:color w:val="auto"/>
                <w:sz w:val="24"/>
                <w:szCs w:val="24"/>
                <w:lang w:val="en-US" w:eastAsia="zh-CN"/>
              </w:rPr>
              <w:t>江苏徐海环境监测有</w:t>
            </w:r>
            <w:r>
              <w:rPr>
                <w:rFonts w:hint="default" w:ascii="Times New Roman" w:hAnsi="Times New Roman" w:eastAsia="仿宋" w:cs="Times New Roman"/>
                <w:color w:val="auto"/>
                <w:sz w:val="24"/>
                <w:szCs w:val="24"/>
                <w:lang w:val="en-US" w:eastAsia="zh-CN"/>
              </w:rPr>
              <w:t xml:space="preserve">限公司对环境应急资源进行了复核。 </w:t>
            </w:r>
          </w:p>
          <w:p>
            <w:pPr>
              <w:widowControl w:val="0"/>
              <w:wordWrap/>
              <w:adjustRightInd/>
              <w:spacing w:line="500" w:lineRule="exact"/>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5.3、</w:t>
            </w:r>
            <w:r>
              <w:rPr>
                <w:rFonts w:hint="eastAsia" w:ascii="Times New Roman" w:hAnsi="Times New Roman" w:eastAsia="仿宋" w:cs="Times New Roman"/>
                <w:color w:val="auto"/>
                <w:sz w:val="24"/>
                <w:szCs w:val="24"/>
                <w:lang w:val="en-US" w:eastAsia="zh-CN"/>
              </w:rPr>
              <w:t>12</w:t>
            </w:r>
            <w:r>
              <w:rPr>
                <w:rFonts w:hint="default" w:ascii="Times New Roman" w:hAnsi="Times New Roman" w:eastAsia="仿宋" w:cs="Times New Roman"/>
                <w:color w:val="auto"/>
                <w:sz w:val="24"/>
                <w:szCs w:val="24"/>
                <w:lang w:val="en-US" w:eastAsia="zh-CN"/>
              </w:rPr>
              <w:t>月4日环境应急资源调查人员建立了环境风险应急资源档案，编写完成环境应急资源管理维护更新等制度，</w:t>
            </w:r>
            <w:r>
              <w:rPr>
                <w:rFonts w:hint="eastAsia" w:ascii="Times New Roman" w:hAnsi="Times New Roman" w:eastAsia="仿宋" w:cs="Times New Roman"/>
                <w:color w:val="auto"/>
                <w:sz w:val="24"/>
                <w:szCs w:val="24"/>
                <w:lang w:val="en-US" w:eastAsia="zh-CN"/>
              </w:rPr>
              <w:t>12月</w:t>
            </w:r>
            <w:r>
              <w:rPr>
                <w:rFonts w:hint="default" w:ascii="Times New Roman" w:hAnsi="Times New Roman" w:eastAsia="仿宋" w:cs="Times New Roman"/>
                <w:color w:val="auto"/>
                <w:sz w:val="24"/>
                <w:szCs w:val="24"/>
                <w:lang w:val="en-US" w:eastAsia="zh-CN"/>
              </w:rPr>
              <w:t xml:space="preserve">5日应急总指挥王爱军进行了审批下发，建立环境应急物资管理维护更新长效机制。 </w:t>
            </w:r>
          </w:p>
          <w:p>
            <w:pPr>
              <w:widowControl w:val="0"/>
              <w:wordWrap/>
              <w:adjustRightInd/>
              <w:spacing w:line="500" w:lineRule="exact"/>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5.4、</w:t>
            </w:r>
            <w:r>
              <w:rPr>
                <w:rFonts w:hint="eastAsia" w:ascii="Times New Roman" w:hAnsi="Times New Roman" w:eastAsia="仿宋" w:cs="Times New Roman"/>
                <w:color w:val="auto"/>
                <w:sz w:val="24"/>
                <w:szCs w:val="24"/>
                <w:lang w:val="en-US" w:eastAsia="zh-CN"/>
              </w:rPr>
              <w:t>6</w:t>
            </w:r>
            <w:r>
              <w:rPr>
                <w:rFonts w:hint="default" w:ascii="Times New Roman" w:hAnsi="Times New Roman" w:eastAsia="仿宋" w:cs="Times New Roman"/>
                <w:color w:val="auto"/>
                <w:sz w:val="24"/>
                <w:szCs w:val="24"/>
                <w:lang w:val="en-US" w:eastAsia="zh-CN"/>
              </w:rPr>
              <w:t>~7日环境应急资源调查人员汇总调查结果，编写环境风险应急资源调查报告表，建立环境应急资源信息台帐。</w:t>
            </w:r>
          </w:p>
          <w:p>
            <w:pPr>
              <w:adjustRightInd w:val="0"/>
              <w:snapToGrid w:val="0"/>
              <w:rPr>
                <w:rFonts w:hint="default" w:ascii="Times New Roman" w:hAnsi="Times New Roman" w:eastAsia="仿宋" w:cs="Times New Roman"/>
                <w:color w:val="auto"/>
                <w:sz w:val="21"/>
                <w:szCs w:val="21"/>
              </w:rPr>
            </w:pPr>
          </w:p>
          <w:p>
            <w:pPr>
              <w:adjustRightInd w:val="0"/>
              <w:snapToGrid w:val="0"/>
              <w:rPr>
                <w:rFonts w:hint="default" w:ascii="Times New Roman" w:hAnsi="Times New Roman" w:eastAsia="仿宋"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vAlign w:val="center"/>
          </w:tcPr>
          <w:p>
            <w:pPr>
              <w:numPr>
                <w:ilvl w:val="0"/>
                <w:numId w:val="1"/>
              </w:numPr>
              <w:adjustRightInd w:val="0"/>
              <w:snapToGrid w:val="0"/>
              <w:ind w:left="0" w:leftChars="0" w:firstLine="0" w:firstLineChars="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调查结果（调查结果如果为“有”，应附相应调查表）</w:t>
            </w:r>
          </w:p>
          <w:p>
            <w:pPr>
              <w:widowControl w:val="0"/>
              <w:wordWrap/>
              <w:adjustRightInd/>
              <w:spacing w:line="500" w:lineRule="exact"/>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 xml:space="preserve">本公司及区域联动协议单位各有环境风险应急物资。 </w:t>
            </w:r>
          </w:p>
          <w:p>
            <w:pPr>
              <w:pStyle w:val="29"/>
              <w:numPr>
                <w:ilvl w:val="0"/>
                <w:numId w:val="0"/>
              </w:numPr>
              <w:ind w:leftChars="0"/>
              <w:rPr>
                <w:rFonts w:hint="default" w:ascii="Times New Roman" w:hAnsi="Times New Roman" w:eastAsia="仿宋"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728" w:type="dxa"/>
            <w:vAlign w:val="center"/>
          </w:tcPr>
          <w:p>
            <w:pPr>
              <w:adjustRightInd w:val="0"/>
              <w:snapToGrid w:val="0"/>
              <w:spacing w:line="288"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应急资源情况</w:t>
            </w:r>
          </w:p>
        </w:tc>
        <w:tc>
          <w:tcPr>
            <w:tcW w:w="7332" w:type="dxa"/>
            <w:gridSpan w:val="3"/>
            <w:vAlign w:val="center"/>
          </w:tcPr>
          <w:p>
            <w:pPr>
              <w:adjustRightInd w:val="0"/>
              <w:snapToGrid w:val="0"/>
              <w:spacing w:line="288"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资源品种：</w:t>
            </w:r>
            <w:r>
              <w:rPr>
                <w:rFonts w:hint="default" w:ascii="Times New Roman" w:hAnsi="Times New Roman" w:eastAsia="仿宋" w:cs="Times New Roman"/>
                <w:color w:val="auto"/>
                <w:sz w:val="21"/>
                <w:szCs w:val="21"/>
                <w:u w:val="single"/>
              </w:rPr>
              <w:t xml:space="preserve">  </w:t>
            </w:r>
            <w:r>
              <w:rPr>
                <w:rFonts w:hint="default" w:ascii="Times New Roman" w:hAnsi="Times New Roman" w:eastAsia="仿宋" w:cs="Times New Roman"/>
                <w:color w:val="auto"/>
                <w:sz w:val="21"/>
                <w:szCs w:val="21"/>
                <w:u w:val="single"/>
                <w:lang w:val="en-US" w:eastAsia="zh-CN"/>
              </w:rPr>
              <w:t>5</w:t>
            </w:r>
            <w:r>
              <w:rPr>
                <w:rFonts w:hint="default" w:ascii="Times New Roman" w:hAnsi="Times New Roman" w:eastAsia="仿宋" w:cs="Times New Roman"/>
                <w:color w:val="auto"/>
                <w:sz w:val="21"/>
                <w:szCs w:val="21"/>
                <w:u w:val="single"/>
              </w:rPr>
              <w:t xml:space="preserve">  </w:t>
            </w:r>
            <w:r>
              <w:rPr>
                <w:rFonts w:hint="default" w:ascii="Times New Roman" w:hAnsi="Times New Roman" w:eastAsia="仿宋" w:cs="Times New Roman"/>
                <w:color w:val="auto"/>
                <w:sz w:val="21"/>
                <w:szCs w:val="21"/>
              </w:rPr>
              <w:t>种；</w:t>
            </w:r>
          </w:p>
          <w:p>
            <w:pPr>
              <w:adjustRightInd w:val="0"/>
              <w:snapToGrid w:val="0"/>
              <w:spacing w:line="288"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是否有外部环境应急支持单位：</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 xml:space="preserve">有, </w:t>
            </w:r>
            <w:r>
              <w:rPr>
                <w:rFonts w:hint="default" w:ascii="Times New Roman" w:hAnsi="Times New Roman" w:eastAsia="仿宋" w:cs="Times New Roman"/>
                <w:color w:val="auto"/>
                <w:sz w:val="21"/>
                <w:szCs w:val="21"/>
                <w:u w:val="single"/>
              </w:rPr>
              <w:t xml:space="preserve">  </w:t>
            </w:r>
            <w:r>
              <w:rPr>
                <w:rFonts w:hint="default" w:ascii="Times New Roman" w:hAnsi="Times New Roman" w:eastAsia="仿宋" w:cs="Times New Roman"/>
                <w:color w:val="auto"/>
                <w:sz w:val="21"/>
                <w:szCs w:val="21"/>
                <w:u w:val="single"/>
                <w:lang w:val="en-US" w:eastAsia="zh-CN"/>
              </w:rPr>
              <w:t>2</w:t>
            </w:r>
            <w:r>
              <w:rPr>
                <w:rFonts w:hint="default" w:ascii="Times New Roman" w:hAnsi="Times New Roman" w:eastAsia="仿宋" w:cs="Times New Roman"/>
                <w:color w:val="auto"/>
                <w:sz w:val="21"/>
                <w:szCs w:val="21"/>
                <w:u w:val="single"/>
              </w:rPr>
              <w:t xml:space="preserve"> </w:t>
            </w:r>
            <w:r>
              <w:rPr>
                <w:rFonts w:hint="default" w:ascii="Times New Roman" w:hAnsi="Times New Roman" w:eastAsia="仿宋" w:cs="Times New Roman"/>
                <w:color w:val="auto"/>
                <w:sz w:val="21"/>
                <w:szCs w:val="21"/>
              </w:rPr>
              <w:t>家；□无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vAlign w:val="center"/>
          </w:tcPr>
          <w:p>
            <w:pPr>
              <w:adjustRightInd w:val="0"/>
              <w:snapToGrid w:val="0"/>
              <w:rPr>
                <w:rFonts w:hint="default" w:ascii="Times New Roman" w:hAnsi="Times New Roman" w:eastAsia="仿宋" w:cs="Times New Roman"/>
                <w:b/>
                <w:color w:val="auto"/>
                <w:sz w:val="24"/>
                <w:szCs w:val="24"/>
              </w:rPr>
            </w:pPr>
            <w:r>
              <w:rPr>
                <w:rFonts w:hint="default" w:ascii="Times New Roman" w:hAnsi="Times New Roman" w:eastAsia="仿宋" w:cs="Times New Roman"/>
                <w:b/>
                <w:bCs/>
                <w:color w:val="auto"/>
                <w:sz w:val="24"/>
                <w:szCs w:val="24"/>
              </w:rPr>
              <w:t>3.调查质量控制与管理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9060" w:type="dxa"/>
            <w:gridSpan w:val="4"/>
            <w:vAlign w:val="center"/>
          </w:tcPr>
          <w:p>
            <w:pPr>
              <w:adjustRightInd w:val="0"/>
              <w:snapToGrid w:val="0"/>
              <w:spacing w:line="288" w:lineRule="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是否进行了调查信息审核：</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有；□无</w:t>
            </w:r>
          </w:p>
          <w:p>
            <w:pPr>
              <w:adjustRightInd w:val="0"/>
              <w:snapToGrid w:val="0"/>
              <w:spacing w:line="288" w:lineRule="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是否建立了调查信息档案：</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有；□无</w:t>
            </w:r>
          </w:p>
          <w:p>
            <w:pPr>
              <w:adjustRightInd w:val="0"/>
              <w:snapToGrid w:val="0"/>
              <w:spacing w:line="288" w:lineRule="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是否建立了调查更新机制：</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有；□无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vAlign w:val="center"/>
          </w:tcPr>
          <w:p>
            <w:pPr>
              <w:adjustRightInd w:val="0"/>
              <w:snapToGrid w:val="0"/>
              <w:rPr>
                <w:rFonts w:hint="default" w:ascii="Times New Roman" w:hAnsi="Times New Roman" w:eastAsia="仿宋" w:cs="Times New Roman"/>
                <w:b/>
                <w:color w:val="auto"/>
                <w:sz w:val="24"/>
                <w:szCs w:val="24"/>
              </w:rPr>
            </w:pPr>
            <w:r>
              <w:rPr>
                <w:rFonts w:hint="default" w:ascii="Times New Roman" w:hAnsi="Times New Roman" w:eastAsia="仿宋" w:cs="Times New Roman"/>
                <w:b/>
                <w:bCs/>
                <w:color w:val="auto"/>
                <w:sz w:val="24"/>
                <w:szCs w:val="24"/>
              </w:rPr>
              <w:t>4.资源储备与应急需求匹配的分析结论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vAlign w:val="center"/>
          </w:tcPr>
          <w:p>
            <w:pPr>
              <w:adjustRightInd w:val="0"/>
              <w:snapToGrid w:val="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□完全满足；□满足；</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基本满足；□不能满足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vAlign w:val="center"/>
          </w:tcPr>
          <w:p>
            <w:pPr>
              <w:adjustRightInd w:val="0"/>
              <w:snapToGrid w:val="0"/>
              <w:rPr>
                <w:rFonts w:hint="default" w:ascii="Times New Roman" w:hAnsi="Times New Roman" w:eastAsia="仿宋" w:cs="Times New Roman"/>
                <w:color w:val="auto"/>
                <w:sz w:val="24"/>
                <w:szCs w:val="24"/>
              </w:rPr>
            </w:pPr>
            <w:r>
              <w:rPr>
                <w:rFonts w:hint="default" w:ascii="Times New Roman" w:hAnsi="Times New Roman" w:eastAsia="仿宋" w:cs="Times New Roman"/>
                <w:b/>
                <w:bCs/>
                <w:color w:val="auto"/>
                <w:sz w:val="24"/>
                <w:szCs w:val="24"/>
              </w:rPr>
              <w:t>5.附件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vAlign w:val="center"/>
          </w:tcPr>
          <w:p>
            <w:pPr>
              <w:adjustRightInd w:val="0"/>
              <w:snapToGrid w:val="0"/>
              <w:spacing w:line="288" w:lineRule="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5.1环境应急资源/信息汇总表</w:t>
            </w:r>
          </w:p>
          <w:p>
            <w:pPr>
              <w:adjustRightInd w:val="0"/>
              <w:snapToGrid w:val="0"/>
              <w:spacing w:line="288" w:lineRule="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5.2环境应急资源单位内部分布图</w:t>
            </w:r>
          </w:p>
          <w:p>
            <w:pPr>
              <w:adjustRightInd w:val="0"/>
              <w:snapToGrid w:val="0"/>
              <w:spacing w:line="288" w:lineRule="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5.3环境应急资源管理维护更新等制度</w:t>
            </w:r>
          </w:p>
          <w:p>
            <w:pPr>
              <w:adjustRightInd w:val="0"/>
              <w:snapToGrid w:val="0"/>
              <w:spacing w:line="288" w:lineRule="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 xml:space="preserve">5.4 公司环境应急资源调查表 </w:t>
            </w:r>
          </w:p>
          <w:p>
            <w:pPr>
              <w:adjustRightInd w:val="0"/>
              <w:snapToGrid w:val="0"/>
              <w:spacing w:line="288" w:lineRule="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 xml:space="preserve">5.5 </w:t>
            </w:r>
            <w:r>
              <w:rPr>
                <w:rFonts w:hint="default" w:ascii="Times New Roman" w:hAnsi="Times New Roman" w:eastAsia="仿宋" w:cs="Times New Roman"/>
                <w:b w:val="0"/>
                <w:bCs w:val="0"/>
                <w:color w:val="auto"/>
                <w:sz w:val="24"/>
                <w:szCs w:val="24"/>
                <w:lang w:val="en-US" w:eastAsia="zh-CN"/>
              </w:rPr>
              <w:t>江苏徐海环境监测有限公司</w:t>
            </w:r>
            <w:r>
              <w:rPr>
                <w:rFonts w:hint="default" w:ascii="Times New Roman" w:hAnsi="Times New Roman" w:eastAsia="仿宋" w:cs="Times New Roman"/>
                <w:color w:val="auto"/>
                <w:sz w:val="24"/>
                <w:szCs w:val="24"/>
                <w:lang w:val="en-US" w:eastAsia="zh-CN"/>
              </w:rPr>
              <w:t>环境应急资源调查表</w:t>
            </w:r>
          </w:p>
          <w:p>
            <w:pPr>
              <w:adjustRightInd w:val="0"/>
              <w:snapToGrid w:val="0"/>
              <w:rPr>
                <w:rFonts w:hint="default" w:ascii="Times New Roman" w:hAnsi="Times New Roman" w:eastAsia="仿宋" w:cs="Times New Roman"/>
                <w:color w:val="auto"/>
                <w:sz w:val="21"/>
                <w:szCs w:val="21"/>
              </w:rPr>
            </w:pPr>
          </w:p>
          <w:p>
            <w:pPr>
              <w:adjustRightInd w:val="0"/>
              <w:snapToGrid w:val="0"/>
              <w:rPr>
                <w:rFonts w:hint="default" w:ascii="Times New Roman" w:hAnsi="Times New Roman" w:eastAsia="仿宋" w:cs="Times New Roman"/>
                <w:b/>
                <w:color w:val="auto"/>
                <w:sz w:val="21"/>
                <w:szCs w:val="21"/>
              </w:rPr>
            </w:pPr>
          </w:p>
        </w:tc>
      </w:tr>
    </w:tbl>
    <w:p>
      <w:pPr>
        <w:adjustRightInd w:val="0"/>
        <w:snapToGrid w:val="0"/>
        <w:spacing w:line="288" w:lineRule="auto"/>
        <w:rPr>
          <w:rFonts w:hint="eastAsia" w:ascii="宋体" w:hAnsi="宋体" w:eastAsia="宋体"/>
          <w:color w:val="auto"/>
          <w:sz w:val="21"/>
          <w:szCs w:val="21"/>
          <w:lang w:val="en-US" w:eastAsia="zh-CN"/>
        </w:rPr>
      </w:pPr>
    </w:p>
    <w:p>
      <w:pPr>
        <w:adjustRightInd w:val="0"/>
        <w:snapToGrid w:val="0"/>
        <w:spacing w:line="288" w:lineRule="auto"/>
        <w:rPr>
          <w:rFonts w:hint="eastAsia" w:ascii="宋体" w:hAnsi="宋体" w:eastAsia="宋体"/>
          <w:color w:val="auto"/>
          <w:sz w:val="21"/>
          <w:szCs w:val="21"/>
          <w:lang w:val="en-US" w:eastAsia="zh-CN"/>
        </w:rPr>
      </w:pPr>
    </w:p>
    <w:p>
      <w:pPr>
        <w:adjustRightInd w:val="0"/>
        <w:snapToGrid w:val="0"/>
        <w:spacing w:line="288" w:lineRule="auto"/>
        <w:rPr>
          <w:rFonts w:hint="eastAsia" w:ascii="宋体" w:hAnsi="宋体" w:eastAsia="宋体"/>
          <w:color w:val="auto"/>
          <w:sz w:val="21"/>
          <w:szCs w:val="21"/>
          <w:lang w:val="en-US" w:eastAsia="zh-CN"/>
        </w:rPr>
      </w:pPr>
    </w:p>
    <w:p>
      <w:pPr>
        <w:pStyle w:val="29"/>
        <w:rPr>
          <w:rFonts w:hint="eastAsia"/>
          <w:color w:val="auto"/>
          <w:lang w:val="en-US" w:eastAsia="zh-CN"/>
        </w:rPr>
      </w:pPr>
    </w:p>
    <w:p>
      <w:pPr>
        <w:adjustRightInd w:val="0"/>
        <w:snapToGrid w:val="0"/>
        <w:spacing w:line="288" w:lineRule="auto"/>
        <w:rPr>
          <w:rFonts w:hint="eastAsia" w:ascii="宋体" w:hAnsi="宋体" w:eastAsia="宋体"/>
          <w:color w:val="auto"/>
          <w:sz w:val="21"/>
          <w:szCs w:val="21"/>
          <w:lang w:val="en-US" w:eastAsia="zh-CN"/>
        </w:rPr>
      </w:pPr>
    </w:p>
    <w:p>
      <w:pPr>
        <w:adjustRightInd w:val="0"/>
        <w:snapToGrid w:val="0"/>
        <w:spacing w:line="288" w:lineRule="auto"/>
        <w:rPr>
          <w:rFonts w:hint="eastAsia" w:ascii="宋体" w:hAnsi="宋体" w:eastAsia="宋体"/>
          <w:color w:val="auto"/>
          <w:sz w:val="21"/>
          <w:szCs w:val="21"/>
          <w:lang w:val="en-US" w:eastAsia="zh-CN"/>
        </w:rPr>
      </w:pPr>
    </w:p>
    <w:p>
      <w:pPr>
        <w:adjustRightInd w:val="0"/>
        <w:snapToGrid w:val="0"/>
        <w:spacing w:line="288" w:lineRule="auto"/>
        <w:outlineLvl w:val="9"/>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附件：</w:t>
      </w:r>
      <w:r>
        <w:rPr>
          <w:rFonts w:hint="default" w:ascii="Times New Roman" w:hAnsi="Times New Roman" w:eastAsia="仿宋" w:cs="Times New Roman"/>
          <w:b/>
          <w:bCs/>
          <w:color w:val="auto"/>
          <w:sz w:val="24"/>
          <w:szCs w:val="24"/>
        </w:rPr>
        <w:t>5.1环境应急资源/信息汇总表</w:t>
      </w:r>
    </w:p>
    <w:tbl>
      <w:tblPr>
        <w:tblStyle w:val="21"/>
        <w:tblW w:w="90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21"/>
        <w:gridCol w:w="984"/>
        <w:gridCol w:w="1406"/>
        <w:gridCol w:w="1078"/>
        <w:gridCol w:w="929"/>
        <w:gridCol w:w="1115"/>
        <w:gridCol w:w="938"/>
        <w:gridCol w:w="760"/>
        <w:gridCol w:w="13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bCs/>
                <w:i w:val="0"/>
                <w:color w:val="auto"/>
                <w:sz w:val="21"/>
                <w:szCs w:val="21"/>
                <w:u w:val="none"/>
              </w:rPr>
            </w:pPr>
            <w:r>
              <w:rPr>
                <w:rFonts w:hint="default" w:ascii="Times New Roman" w:hAnsi="Times New Roman" w:eastAsia="仿宋" w:cs="Times New Roman"/>
                <w:b/>
                <w:bCs/>
                <w:i w:val="0"/>
                <w:color w:val="auto"/>
                <w:kern w:val="0"/>
                <w:sz w:val="21"/>
                <w:szCs w:val="21"/>
                <w:u w:val="none"/>
                <w:lang w:val="en-US" w:eastAsia="zh-CN"/>
              </w:rPr>
              <w:t xml:space="preserve">序号 </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bCs/>
                <w:i w:val="0"/>
                <w:color w:val="auto"/>
                <w:sz w:val="21"/>
                <w:szCs w:val="21"/>
                <w:u w:val="none"/>
              </w:rPr>
            </w:pPr>
            <w:r>
              <w:rPr>
                <w:rFonts w:hint="default" w:ascii="Times New Roman" w:hAnsi="Times New Roman" w:eastAsia="仿宋" w:cs="Times New Roman"/>
                <w:b/>
                <w:bCs/>
                <w:i w:val="0"/>
                <w:color w:val="auto"/>
                <w:kern w:val="0"/>
                <w:sz w:val="21"/>
                <w:szCs w:val="21"/>
                <w:u w:val="none"/>
                <w:lang w:val="en-US" w:eastAsia="zh-CN"/>
              </w:rPr>
              <w:t xml:space="preserve">名称 </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bCs/>
                <w:i w:val="0"/>
                <w:color w:val="auto"/>
                <w:sz w:val="21"/>
                <w:szCs w:val="21"/>
                <w:u w:val="none"/>
              </w:rPr>
            </w:pPr>
            <w:r>
              <w:rPr>
                <w:rFonts w:hint="default" w:ascii="Times New Roman" w:hAnsi="Times New Roman" w:eastAsia="仿宋" w:cs="Times New Roman"/>
                <w:b/>
                <w:bCs/>
                <w:i w:val="0"/>
                <w:color w:val="auto"/>
                <w:kern w:val="0"/>
                <w:sz w:val="21"/>
                <w:szCs w:val="21"/>
                <w:u w:val="none"/>
                <w:lang w:val="en-US" w:eastAsia="zh-CN"/>
              </w:rPr>
              <w:t xml:space="preserve">品牌 </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bCs/>
                <w:i w:val="0"/>
                <w:color w:val="auto"/>
                <w:sz w:val="21"/>
                <w:szCs w:val="21"/>
                <w:u w:val="none"/>
              </w:rPr>
            </w:pPr>
            <w:r>
              <w:rPr>
                <w:rFonts w:hint="default" w:ascii="Times New Roman" w:hAnsi="Times New Roman" w:eastAsia="仿宋" w:cs="Times New Roman"/>
                <w:b/>
                <w:bCs/>
                <w:i w:val="0"/>
                <w:color w:val="auto"/>
                <w:kern w:val="0"/>
                <w:sz w:val="21"/>
                <w:szCs w:val="21"/>
                <w:u w:val="none"/>
                <w:lang w:val="en-US" w:eastAsia="zh-CN"/>
              </w:rPr>
              <w:t xml:space="preserve">型号/规格 </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bCs/>
                <w:i w:val="0"/>
                <w:color w:val="auto"/>
                <w:sz w:val="21"/>
                <w:szCs w:val="21"/>
                <w:u w:val="none"/>
              </w:rPr>
            </w:pPr>
            <w:r>
              <w:rPr>
                <w:rFonts w:hint="default" w:ascii="Times New Roman" w:hAnsi="Times New Roman" w:eastAsia="仿宋" w:cs="Times New Roman"/>
                <w:b/>
                <w:bCs/>
                <w:i w:val="0"/>
                <w:color w:val="auto"/>
                <w:kern w:val="0"/>
                <w:sz w:val="21"/>
                <w:szCs w:val="21"/>
                <w:u w:val="none"/>
                <w:lang w:val="en-US" w:eastAsia="zh-CN"/>
              </w:rPr>
              <w:t xml:space="preserve">储备量 </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bCs/>
                <w:i w:val="0"/>
                <w:color w:val="auto"/>
                <w:kern w:val="2"/>
                <w:sz w:val="21"/>
                <w:szCs w:val="21"/>
                <w:u w:val="none"/>
                <w:lang w:val="en-US" w:eastAsia="zh-CN" w:bidi="ar-SA"/>
              </w:rPr>
            </w:pPr>
            <w:r>
              <w:rPr>
                <w:rFonts w:hint="default" w:ascii="Times New Roman" w:hAnsi="Times New Roman" w:eastAsia="仿宋" w:cs="Times New Roman"/>
                <w:b/>
                <w:bCs/>
                <w:i w:val="0"/>
                <w:color w:val="auto"/>
                <w:kern w:val="0"/>
                <w:sz w:val="21"/>
                <w:szCs w:val="21"/>
                <w:u w:val="none"/>
                <w:lang w:val="en-US" w:eastAsia="zh-CN"/>
              </w:rPr>
              <w:t xml:space="preserve">主要功能 </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bCs/>
                <w:i w:val="0"/>
                <w:color w:val="auto"/>
                <w:kern w:val="2"/>
                <w:sz w:val="21"/>
                <w:szCs w:val="21"/>
                <w:u w:val="none"/>
                <w:lang w:val="en-US" w:eastAsia="zh-CN" w:bidi="ar-SA"/>
              </w:rPr>
            </w:pPr>
            <w:r>
              <w:rPr>
                <w:rFonts w:hint="default" w:ascii="Times New Roman" w:hAnsi="Times New Roman" w:eastAsia="仿宋" w:cs="Times New Roman"/>
                <w:b/>
                <w:bCs/>
                <w:i w:val="0"/>
                <w:color w:val="auto"/>
                <w:kern w:val="0"/>
                <w:sz w:val="21"/>
                <w:szCs w:val="21"/>
                <w:u w:val="none"/>
                <w:lang w:val="en-US" w:eastAsia="zh-CN"/>
              </w:rPr>
              <w:t>放置位置</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b/>
                <w:bCs/>
                <w:i w:val="0"/>
                <w:color w:val="auto"/>
                <w:sz w:val="21"/>
                <w:szCs w:val="21"/>
                <w:u w:val="none"/>
                <w:lang w:val="en-US" w:eastAsia="zh-CN"/>
              </w:rPr>
            </w:pPr>
            <w:r>
              <w:rPr>
                <w:rFonts w:hint="eastAsia" w:ascii="Times New Roman" w:hAnsi="Times New Roman" w:eastAsia="仿宋" w:cs="Times New Roman"/>
                <w:b/>
                <w:bCs/>
                <w:i w:val="0"/>
                <w:color w:val="auto"/>
                <w:sz w:val="21"/>
                <w:szCs w:val="21"/>
                <w:u w:val="none"/>
                <w:lang w:val="en-US" w:eastAsia="zh-CN"/>
              </w:rPr>
              <w:t>负责人</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Times New Roman" w:hAnsi="Times New Roman" w:eastAsia="仿宋" w:cs="Times New Roman"/>
                <w:b/>
                <w:bCs/>
                <w:i w:val="0"/>
                <w:color w:val="auto"/>
                <w:sz w:val="21"/>
                <w:szCs w:val="21"/>
                <w:u w:val="none"/>
                <w:lang w:eastAsia="zh-CN"/>
              </w:rPr>
            </w:pPr>
            <w:r>
              <w:rPr>
                <w:rFonts w:hint="eastAsia" w:ascii="Times New Roman" w:hAnsi="Times New Roman" w:eastAsia="仿宋" w:cs="Times New Roman"/>
                <w:b/>
                <w:bCs/>
                <w:i w:val="0"/>
                <w:color w:val="auto"/>
                <w:sz w:val="21"/>
                <w:szCs w:val="21"/>
                <w:u w:val="none"/>
                <w:lang w:eastAsia="zh-CN"/>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8"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1</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left" w:pos="3000"/>
              </w:tabs>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 xml:space="preserve">消防栓 </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Times New Roman" w:hAnsi="Times New Roman" w:eastAsia="仿宋" w:cs="Times New Roman"/>
                <w:i w:val="0"/>
                <w:color w:val="auto"/>
                <w:sz w:val="21"/>
                <w:szCs w:val="21"/>
                <w:u w:val="none"/>
                <w:lang w:val="en-US" w:eastAsia="zh-CN"/>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Times New Roman" w:hAnsi="Times New Roman" w:eastAsia="仿宋" w:cs="Times New Roman"/>
                <w:i w:val="0"/>
                <w:color w:val="auto"/>
                <w:sz w:val="21"/>
                <w:szCs w:val="21"/>
                <w:u w:val="none"/>
                <w:lang w:val="en-US" w:eastAsia="zh-CN"/>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污染源控制</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罐区、车间、仓库</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lang w:eastAsia="zh-CN"/>
              </w:rPr>
              <w:t>张瑶</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15062181238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2</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left" w:pos="3000"/>
              </w:tabs>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eastAsia="zh-CN"/>
              </w:rPr>
              <w:t>灭火器</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污染源控制</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罐区、车间、仓库</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3</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left" w:pos="3000"/>
              </w:tabs>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消防水池</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污染源控制</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3"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4</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abs>
                <w:tab w:val="left" w:pos="3000"/>
              </w:tabs>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消防泵房</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污染源控制</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5</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可燃气体报警仪</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北京朗睿科技有限公司</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JTQ-CQ-LR6002型</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3</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罐组二</w:t>
            </w:r>
          </w:p>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装卸区</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6</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可燃气体报警仪</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北京朗睿科技有限公司</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2"/>
                <w:sz w:val="21"/>
                <w:szCs w:val="21"/>
                <w:lang w:val="en-US" w:eastAsia="zh-CN"/>
              </w:rPr>
            </w:pPr>
            <w:r>
              <w:rPr>
                <w:rFonts w:hint="default" w:ascii="Times New Roman" w:hAnsi="Times New Roman" w:eastAsia="仿宋" w:cs="Times New Roman"/>
                <w:color w:val="auto"/>
                <w:kern w:val="0"/>
                <w:sz w:val="21"/>
                <w:szCs w:val="21"/>
                <w:lang w:val="en-US" w:eastAsia="zh-CN"/>
              </w:rPr>
              <w:t>JTQ-CQ-LR6002型</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8</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1#车间</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7</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风向标</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生产车间</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8</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 xml:space="preserve">应急灯 </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生产车间、储罐区、仓库</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4"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9</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消防桶</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ZHANGJON/正匠</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DWWXXFZ11</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4</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罐组一</w:t>
            </w:r>
          </w:p>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lang w:val="en-US" w:eastAsia="zh-CN"/>
              </w:rPr>
              <w:t>二</w:t>
            </w:r>
            <w:r>
              <w:rPr>
                <w:rFonts w:hint="default" w:ascii="Times New Roman" w:hAnsi="Times New Roman" w:eastAsia="仿宋" w:cs="Times New Roman"/>
                <w:color w:val="auto"/>
                <w:kern w:val="0"/>
                <w:sz w:val="21"/>
                <w:szCs w:val="21"/>
                <w:lang w:eastAsia="zh-CN"/>
              </w:rPr>
              <w:t>附近</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1"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10</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正压式空气呼吸器</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浙江恒泰安全设备有限公司</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RHZKF6.8/30型</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11</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 xml:space="preserve">防静电工作服 </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12</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防酸工作服</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13</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color w:val="auto"/>
                <w:sz w:val="21"/>
                <w:szCs w:val="21"/>
              </w:rPr>
              <w:t>耐酸碱胶靴</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14</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耐酸碱手套</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15</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化学防护服</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雷克兰（北京）安全防护用具有限公司</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限次使用型</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16</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警戒带</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200米</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17</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防爆手电</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华升黑豹</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WSL-721型</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3" w:hRule="exac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18</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安全带</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19</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防火服</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20</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千斤顶</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污染源控制</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21</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消防斧</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7"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22</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堵漏工具（堵漏器、补漏卡子、密封胶带、圆锥楔、扁楔）</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污染源切断</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23</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Cs/>
                <w:color w:val="auto"/>
                <w:kern w:val="0"/>
                <w:sz w:val="21"/>
                <w:szCs w:val="21"/>
                <w:lang w:eastAsia="zh-CN"/>
              </w:rPr>
              <w:t>防爆</w:t>
            </w:r>
            <w:r>
              <w:rPr>
                <w:rFonts w:hint="default" w:ascii="Times New Roman" w:hAnsi="Times New Roman" w:eastAsia="仿宋" w:cs="Times New Roman"/>
                <w:bCs/>
                <w:color w:val="auto"/>
                <w:kern w:val="0"/>
                <w:sz w:val="21"/>
                <w:szCs w:val="21"/>
              </w:rPr>
              <w:t>工具</w:t>
            </w:r>
            <w:r>
              <w:rPr>
                <w:rFonts w:hint="default" w:ascii="Times New Roman" w:hAnsi="Times New Roman" w:eastAsia="仿宋" w:cs="Times New Roman"/>
                <w:bCs/>
                <w:color w:val="auto"/>
                <w:kern w:val="0"/>
                <w:sz w:val="21"/>
                <w:szCs w:val="21"/>
                <w:lang w:eastAsia="zh-CN"/>
              </w:rPr>
              <w:t>（套装）</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石家庄市金盾防爆工具有限公司</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活动扳手10寸/钳子通用</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7"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24</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绝缘工具（绝缘手套、绝缘靴、绝缘杆）</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配电室</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25</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应急药箱</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办公室</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lang w:val="en-US" w:eastAsia="zh-CN"/>
              </w:rPr>
            </w:pPr>
            <w:r>
              <w:rPr>
                <w:rFonts w:hint="eastAsia" w:ascii="Times New Roman" w:hAnsi="Times New Roman" w:eastAsia="仿宋" w:cs="Times New Roman"/>
                <w:i w:val="0"/>
                <w:color w:val="auto"/>
                <w:sz w:val="21"/>
                <w:szCs w:val="21"/>
                <w:u w:val="none"/>
                <w:lang w:val="en-US" w:eastAsia="zh-CN"/>
              </w:rPr>
              <w:t>26</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color w:val="auto"/>
                <w:sz w:val="21"/>
                <w:szCs w:val="21"/>
              </w:rPr>
              <w:t>担架</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办公室</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lang w:val="en-US" w:eastAsia="zh-CN"/>
              </w:rPr>
            </w:pPr>
            <w:r>
              <w:rPr>
                <w:rFonts w:hint="eastAsia" w:ascii="Times New Roman" w:hAnsi="Times New Roman" w:eastAsia="仿宋" w:cs="Times New Roman"/>
                <w:i w:val="0"/>
                <w:color w:val="auto"/>
                <w:sz w:val="21"/>
                <w:szCs w:val="21"/>
                <w:u w:val="none"/>
                <w:lang w:val="en-US" w:eastAsia="zh-CN"/>
              </w:rPr>
              <w:t>27</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氧气枕</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办公室</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lang w:val="en-US" w:eastAsia="zh-CN"/>
              </w:rPr>
            </w:pPr>
            <w:r>
              <w:rPr>
                <w:rFonts w:hint="eastAsia" w:ascii="Times New Roman" w:hAnsi="Times New Roman" w:eastAsia="仿宋" w:cs="Times New Roman"/>
                <w:i w:val="0"/>
                <w:color w:val="auto"/>
                <w:sz w:val="21"/>
                <w:szCs w:val="21"/>
                <w:u w:val="none"/>
                <w:lang w:val="en-US" w:eastAsia="zh-CN"/>
              </w:rPr>
              <w:t>28</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对讲机</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4</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sz w:val="21"/>
                <w:szCs w:val="21"/>
                <w:u w:val="none"/>
              </w:rPr>
              <w:t>应急通信</w:t>
            </w:r>
          </w:p>
          <w:p>
            <w:pPr>
              <w:jc w:val="center"/>
              <w:rPr>
                <w:rFonts w:hint="default" w:ascii="Times New Roman" w:hAnsi="Times New Roman" w:eastAsia="仿宋" w:cs="Times New Roman"/>
                <w:i w:val="0"/>
                <w:color w:val="auto"/>
                <w:sz w:val="21"/>
                <w:szCs w:val="21"/>
                <w:u w:val="none"/>
              </w:rPr>
            </w:pPr>
            <w:r>
              <w:rPr>
                <w:rFonts w:hint="default" w:ascii="Times New Roman" w:hAnsi="Times New Roman" w:eastAsia="仿宋" w:cs="Times New Roman"/>
                <w:i w:val="0"/>
                <w:color w:val="auto"/>
                <w:sz w:val="21"/>
                <w:szCs w:val="21"/>
                <w:u w:val="none"/>
              </w:rPr>
              <w:t>和指挥</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bidi="ar-SA"/>
              </w:rPr>
            </w:pPr>
            <w:r>
              <w:rPr>
                <w:rFonts w:hint="eastAsia" w:ascii="Times New Roman" w:hAnsi="Times New Roman" w:eastAsia="仿宋" w:cs="Times New Roman"/>
                <w:b w:val="0"/>
                <w:i w:val="0"/>
                <w:color w:val="auto"/>
                <w:kern w:val="0"/>
                <w:sz w:val="21"/>
                <w:szCs w:val="21"/>
                <w:lang w:val="en-US" w:eastAsia="zh-CN"/>
              </w:rPr>
              <w:t>个人</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lang w:val="en-US" w:eastAsia="zh-CN"/>
              </w:rPr>
            </w:pPr>
            <w:r>
              <w:rPr>
                <w:rFonts w:hint="eastAsia" w:ascii="Times New Roman" w:hAnsi="Times New Roman" w:eastAsia="仿宋" w:cs="Times New Roman"/>
                <w:i w:val="0"/>
                <w:color w:val="auto"/>
                <w:sz w:val="21"/>
                <w:szCs w:val="21"/>
                <w:u w:val="none"/>
                <w:lang w:val="en-US" w:eastAsia="zh-CN"/>
              </w:rPr>
              <w:t>29</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救生绳</w:t>
            </w:r>
          </w:p>
        </w:tc>
        <w:tc>
          <w:tcPr>
            <w:tcW w:w="14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i w:val="0"/>
                <w:color w:val="auto"/>
                <w:sz w:val="21"/>
                <w:szCs w:val="21"/>
                <w:u w:val="none"/>
              </w:rPr>
            </w:pPr>
            <w:r>
              <w:rPr>
                <w:rFonts w:hint="eastAsia" w:ascii="Times New Roman" w:hAnsi="Times New Roman" w:eastAsia="仿宋" w:cs="Times New Roman"/>
                <w:i w:val="0"/>
                <w:color w:val="auto"/>
                <w:sz w:val="21"/>
                <w:szCs w:val="21"/>
                <w:u w:val="none"/>
                <w:lang w:val="en-US" w:eastAsia="zh-CN"/>
              </w:rPr>
              <w:t>/</w:t>
            </w:r>
          </w:p>
        </w:tc>
        <w:tc>
          <w:tcPr>
            <w:tcW w:w="10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9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Times New Roman" w:hAnsi="Times New Roman" w:eastAsia="仿宋" w:cs="Times New Roman"/>
                <w:i w:val="0"/>
                <w:color w:val="auto"/>
                <w:sz w:val="21"/>
                <w:szCs w:val="21"/>
                <w:u w:val="none"/>
                <w:lang w:eastAsia="zh-CN"/>
              </w:rPr>
            </w:pPr>
            <w:r>
              <w:rPr>
                <w:rFonts w:hint="default" w:ascii="Times New Roman" w:hAnsi="Times New Roman" w:eastAsia="仿宋" w:cs="Times New Roman"/>
                <w:color w:val="auto"/>
                <w:kern w:val="0"/>
                <w:sz w:val="21"/>
                <w:szCs w:val="21"/>
              </w:rPr>
              <w:t>安全防护</w:t>
            </w:r>
          </w:p>
        </w:tc>
        <w:tc>
          <w:tcPr>
            <w:tcW w:w="9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Times New Roman" w:hAnsi="Times New Roman" w:eastAsia="仿宋" w:cs="Times New Roman"/>
                <w:b w:val="0"/>
                <w:i w:val="0"/>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办公室</w:t>
            </w:r>
          </w:p>
        </w:tc>
        <w:tc>
          <w:tcPr>
            <w:tcW w:w="7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7731" w:type="dxa"/>
            <w:gridSpan w:val="8"/>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环境应急支持单位信息</w:t>
            </w:r>
          </w:p>
        </w:tc>
        <w:tc>
          <w:tcPr>
            <w:tcW w:w="13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序号</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类别</w:t>
            </w:r>
          </w:p>
        </w:tc>
        <w:tc>
          <w:tcPr>
            <w:tcW w:w="4528"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单位名称</w:t>
            </w:r>
          </w:p>
        </w:tc>
        <w:tc>
          <w:tcPr>
            <w:tcW w:w="300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主要能力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6" w:hRule="atLeast"/>
          <w:jc w:val="center"/>
        </w:trPr>
        <w:tc>
          <w:tcPr>
            <w:tcW w:w="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应急监测单位</w:t>
            </w:r>
          </w:p>
        </w:tc>
        <w:tc>
          <w:tcPr>
            <w:tcW w:w="4528"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江苏徐海环境监测有限公司</w:t>
            </w:r>
          </w:p>
        </w:tc>
        <w:tc>
          <w:tcPr>
            <w:tcW w:w="300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水体：COD、石油类等</w:t>
            </w:r>
          </w:p>
          <w:p>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大气：CO、颗粒物等</w:t>
            </w:r>
          </w:p>
        </w:tc>
      </w:tr>
    </w:tbl>
    <w:p>
      <w:pPr>
        <w:pStyle w:val="29"/>
        <w:rPr>
          <w:rFonts w:hint="default" w:ascii="Times New Roman" w:hAnsi="Times New Roman" w:eastAsia="仿宋" w:cs="Times New Roman"/>
          <w:b/>
          <w:bCs/>
          <w:color w:val="auto"/>
          <w:sz w:val="24"/>
          <w:szCs w:val="24"/>
        </w:rPr>
      </w:pPr>
    </w:p>
    <w:p>
      <w:pPr>
        <w:adjustRightInd w:val="0"/>
        <w:snapToGrid w:val="0"/>
        <w:rPr>
          <w:rFonts w:hint="default" w:ascii="Times New Roman" w:hAnsi="Times New Roman" w:eastAsia="仿宋" w:cs="Times New Roman"/>
          <w:b/>
          <w:bCs/>
          <w:color w:val="auto"/>
          <w:sz w:val="28"/>
          <w:szCs w:val="28"/>
          <w:highlight w:val="none"/>
        </w:rPr>
      </w:pPr>
      <w:r>
        <w:rPr>
          <w:rFonts w:hint="default" w:ascii="Times New Roman" w:hAnsi="Times New Roman" w:eastAsia="仿宋" w:cs="Times New Roman"/>
          <w:b/>
          <w:bCs/>
          <w:color w:val="auto"/>
          <w:sz w:val="28"/>
          <w:szCs w:val="28"/>
          <w:highlight w:val="none"/>
        </w:rPr>
        <w:t>附录A环境应急资源参考名录</w:t>
      </w:r>
    </w:p>
    <w:tbl>
      <w:tblPr>
        <w:tblStyle w:val="21"/>
        <w:tblW w:w="90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379"/>
        <w:gridCol w:w="11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3" w:hRule="atLeast"/>
          <w:tblHeader/>
          <w:jc w:val="center"/>
        </w:trPr>
        <w:tc>
          <w:tcPr>
            <w:tcW w:w="1526" w:type="dxa"/>
            <w:vAlign w:val="center"/>
          </w:tcPr>
          <w:p>
            <w:pPr>
              <w:widowControl/>
              <w:adjustRightInd w:val="0"/>
              <w:snapToGri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主要作业方式或资源功能</w:t>
            </w:r>
          </w:p>
        </w:tc>
        <w:tc>
          <w:tcPr>
            <w:tcW w:w="6379" w:type="dxa"/>
            <w:vAlign w:val="center"/>
          </w:tcPr>
          <w:p>
            <w:pPr>
              <w:adjustRightInd w:val="0"/>
              <w:snapToGri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重点应急资源名称</w:t>
            </w:r>
          </w:p>
        </w:tc>
        <w:tc>
          <w:tcPr>
            <w:tcW w:w="1133" w:type="dxa"/>
            <w:vAlign w:val="center"/>
          </w:tcPr>
          <w:p>
            <w:pPr>
              <w:adjustRightInd w:val="0"/>
              <w:snapToGri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526" w:type="dxa"/>
            <w:vAlign w:val="center"/>
          </w:tcPr>
          <w:p>
            <w:pPr>
              <w:widowControl/>
              <w:adjustRightInd w:val="0"/>
              <w:snapToGri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污染源切断</w:t>
            </w:r>
          </w:p>
        </w:tc>
        <w:tc>
          <w:tcPr>
            <w:tcW w:w="6379" w:type="dxa"/>
            <w:vAlign w:val="center"/>
          </w:tcPr>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沙包沙袋，快速膨胀袋，溢漏围堤下水道阻流袋，排水井保护垫，沟渠密封袋充气式堵水气囊</w:t>
            </w:r>
          </w:p>
        </w:tc>
        <w:tc>
          <w:tcPr>
            <w:tcW w:w="1133" w:type="dxa"/>
            <w:vAlign w:val="center"/>
          </w:tcPr>
          <w:p>
            <w:pPr>
              <w:widowControl/>
              <w:adjustRightInd w:val="0"/>
              <w:snapToGrid w:val="0"/>
              <w:rPr>
                <w:rFonts w:hint="default" w:ascii="Times New Roman" w:hAnsi="Times New Roman" w:eastAsia="仿宋" w:cs="Times New Roman"/>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526" w:type="dxa"/>
            <w:vAlign w:val="center"/>
          </w:tcPr>
          <w:p>
            <w:pPr>
              <w:widowControl/>
              <w:adjustRightInd w:val="0"/>
              <w:snapToGri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污染物控制</w:t>
            </w:r>
          </w:p>
        </w:tc>
        <w:tc>
          <w:tcPr>
            <w:tcW w:w="6379" w:type="dxa"/>
            <w:vAlign w:val="center"/>
          </w:tcPr>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围油栏（常规围油栏、橡胶围油栏、PVC围油栏、防火围油栏）</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浮桶（聚乙烯浮桶、拦污浮桶、管道浮桶、泡沫浮桶、警示浮球）</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水工材料（土工布、土工膜、彩条布、钢丝格栅、导流管件）</w:t>
            </w:r>
          </w:p>
        </w:tc>
        <w:tc>
          <w:tcPr>
            <w:tcW w:w="1133" w:type="dxa"/>
            <w:vAlign w:val="center"/>
          </w:tcPr>
          <w:p>
            <w:pPr>
              <w:widowControl/>
              <w:adjustRightInd w:val="0"/>
              <w:snapToGrid w:val="0"/>
              <w:rPr>
                <w:rFonts w:hint="default" w:ascii="Times New Roman" w:hAnsi="Times New Roman" w:eastAsia="仿宋" w:cs="Times New Roman"/>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526" w:type="dxa"/>
            <w:vAlign w:val="center"/>
          </w:tcPr>
          <w:p>
            <w:pPr>
              <w:widowControl/>
              <w:adjustRightInd w:val="0"/>
              <w:snapToGri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污染物收集</w:t>
            </w:r>
          </w:p>
        </w:tc>
        <w:tc>
          <w:tcPr>
            <w:tcW w:w="6379" w:type="dxa"/>
            <w:vAlign w:val="center"/>
          </w:tcPr>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收油机，潜水泵（包括防爆潜水泵）吸油毡、吸油棉，吸污卷、吸污袋吨桶、油囊、储罐</w:t>
            </w:r>
          </w:p>
        </w:tc>
        <w:tc>
          <w:tcPr>
            <w:tcW w:w="1133" w:type="dxa"/>
            <w:vAlign w:val="center"/>
          </w:tcPr>
          <w:p>
            <w:pPr>
              <w:widowControl/>
              <w:adjustRightInd w:val="0"/>
              <w:snapToGrid w:val="0"/>
              <w:rPr>
                <w:rFonts w:hint="default" w:ascii="Times New Roman" w:hAnsi="Times New Roman" w:eastAsia="仿宋" w:cs="Times New Roman"/>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9" w:hRule="atLeast"/>
          <w:jc w:val="center"/>
        </w:trPr>
        <w:tc>
          <w:tcPr>
            <w:tcW w:w="1526" w:type="dxa"/>
            <w:vAlign w:val="center"/>
          </w:tcPr>
          <w:p>
            <w:pPr>
              <w:widowControl/>
              <w:adjustRightInd w:val="0"/>
              <w:snapToGri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污染物降解</w:t>
            </w:r>
          </w:p>
        </w:tc>
        <w:tc>
          <w:tcPr>
            <w:tcW w:w="6379" w:type="dxa"/>
            <w:vAlign w:val="center"/>
          </w:tcPr>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溶药装置：搅拌机、搅拌桨</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加药装置：水泵、阀门、流量计，加药管</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水污染、大气污染、固体废物处理一体化装置</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吸附剂：活性炭、硅胶、矾土、白土、膨润土、沸石</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中和剂：硫酸、盐酸、硝酸，碳酸钠、碳酸氢钠、氢氧化钙、氢氧化钠、氧化钙</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絮凝剂：聚丙烯酰胺、三氯化铁、聚合氯化铝、聚合硫酸铁</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氧化还原剂：双氧水、高锰酸钾、次氯酸钠，焦亚硫酸钠、亚硫酸氢钠、硫酸亚铁</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沉淀剂：硫化钠</w:t>
            </w:r>
          </w:p>
        </w:tc>
        <w:tc>
          <w:tcPr>
            <w:tcW w:w="1133" w:type="dxa"/>
            <w:vAlign w:val="center"/>
          </w:tcPr>
          <w:p>
            <w:pPr>
              <w:widowControl/>
              <w:adjustRightInd w:val="0"/>
              <w:snapToGrid w:val="0"/>
              <w:rPr>
                <w:rFonts w:hint="default" w:ascii="Times New Roman" w:hAnsi="Times New Roman" w:eastAsia="仿宋" w:cs="Times New Roman"/>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1526" w:type="dxa"/>
            <w:vAlign w:val="center"/>
          </w:tcPr>
          <w:p>
            <w:pPr>
              <w:widowControl/>
              <w:adjustRightInd w:val="0"/>
              <w:snapToGri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安全防护</w:t>
            </w:r>
          </w:p>
        </w:tc>
        <w:tc>
          <w:tcPr>
            <w:tcW w:w="6379" w:type="dxa"/>
            <w:vAlign w:val="center"/>
          </w:tcPr>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预警装置</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防毒面具、防化服、防化靴、防化手套、防化护目镜、防辐射服</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氧气（空气）呼吸器、呼吸面具</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安全帽、手套、安全鞋、工作服、安全警示背心、安全绳</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碘片等</w:t>
            </w:r>
          </w:p>
        </w:tc>
        <w:tc>
          <w:tcPr>
            <w:tcW w:w="1133" w:type="dxa"/>
            <w:vAlign w:val="center"/>
          </w:tcPr>
          <w:p>
            <w:pPr>
              <w:widowControl/>
              <w:adjustRightInd w:val="0"/>
              <w:snapToGrid w:val="0"/>
              <w:rPr>
                <w:rFonts w:hint="default" w:ascii="Times New Roman" w:hAnsi="Times New Roman" w:eastAsia="仿宋" w:cs="Times New Roman"/>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1526" w:type="dxa"/>
            <w:vAlign w:val="center"/>
          </w:tcPr>
          <w:p>
            <w:pPr>
              <w:widowControl/>
              <w:adjustRightInd w:val="0"/>
              <w:snapToGri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应急通信</w:t>
            </w:r>
          </w:p>
          <w:p>
            <w:pPr>
              <w:widowControl/>
              <w:adjustRightInd w:val="0"/>
              <w:snapToGri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和指挥</w:t>
            </w:r>
          </w:p>
        </w:tc>
        <w:tc>
          <w:tcPr>
            <w:tcW w:w="6379" w:type="dxa"/>
            <w:vAlign w:val="center"/>
          </w:tcPr>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应急指挥及信息系统</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应急指挥车、应急指挥船</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对讲机、定位仪</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海事卫星视频传输系统及单兵系统等</w:t>
            </w:r>
          </w:p>
        </w:tc>
        <w:tc>
          <w:tcPr>
            <w:tcW w:w="1133" w:type="dxa"/>
            <w:vAlign w:val="center"/>
          </w:tcPr>
          <w:p>
            <w:pPr>
              <w:widowControl/>
              <w:adjustRightInd w:val="0"/>
              <w:snapToGrid w:val="0"/>
              <w:rPr>
                <w:rFonts w:hint="default" w:ascii="Times New Roman" w:hAnsi="Times New Roman" w:eastAsia="仿宋" w:cs="Times New Roman"/>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526" w:type="dxa"/>
            <w:vAlign w:val="center"/>
          </w:tcPr>
          <w:p>
            <w:pPr>
              <w:widowControl/>
              <w:adjustRightInd w:val="0"/>
              <w:snapToGri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环境监测</w:t>
            </w:r>
          </w:p>
        </w:tc>
        <w:tc>
          <w:tcPr>
            <w:tcW w:w="6379" w:type="dxa"/>
            <w:vAlign w:val="center"/>
          </w:tcPr>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采样设备</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便携式监测设备</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应急监测车（船）</w:t>
            </w:r>
          </w:p>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无人机（船）</w:t>
            </w:r>
          </w:p>
        </w:tc>
        <w:tc>
          <w:tcPr>
            <w:tcW w:w="1133" w:type="dxa"/>
            <w:vAlign w:val="center"/>
          </w:tcPr>
          <w:p>
            <w:pPr>
              <w:widowControl/>
              <w:adjustRightInd w:val="0"/>
              <w:snapToGrid w:val="0"/>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具体可参考环境应急监测装备推荐配置表等</w:t>
            </w:r>
          </w:p>
        </w:tc>
      </w:tr>
    </w:tbl>
    <w:p>
      <w:pPr>
        <w:pStyle w:val="29"/>
        <w:rPr>
          <w:rFonts w:hint="eastAsia" w:eastAsia="方正小标宋_GBK"/>
          <w:color w:val="auto"/>
          <w:sz w:val="30"/>
          <w:szCs w:val="30"/>
          <w:lang w:eastAsia="zh-CN"/>
        </w:rPr>
      </w:pPr>
    </w:p>
    <w:p>
      <w:pPr>
        <w:pStyle w:val="29"/>
        <w:rPr>
          <w:rFonts w:hint="default" w:ascii="Times New Roman" w:hAnsi="Times New Roman" w:eastAsia="宋体" w:cs="Times New Roman"/>
          <w:b/>
          <w:bCs/>
          <w:color w:val="auto"/>
          <w:sz w:val="24"/>
          <w:szCs w:val="24"/>
        </w:rPr>
      </w:pPr>
    </w:p>
    <w:p>
      <w:pPr>
        <w:pStyle w:val="29"/>
        <w:rPr>
          <w:rFonts w:hint="default" w:ascii="Times New Roman" w:hAnsi="Times New Roman" w:eastAsia="宋体" w:cs="Times New Roman"/>
          <w:b/>
          <w:bCs/>
          <w:color w:val="auto"/>
          <w:sz w:val="24"/>
          <w:szCs w:val="24"/>
        </w:rPr>
      </w:pPr>
    </w:p>
    <w:p>
      <w:pPr>
        <w:pStyle w:val="29"/>
        <w:rPr>
          <w:rFonts w:hint="default" w:ascii="Times New Roman" w:hAnsi="Times New Roman" w:eastAsia="宋体" w:cs="Times New Roman"/>
          <w:b/>
          <w:bCs/>
          <w:color w:val="auto"/>
          <w:sz w:val="24"/>
          <w:szCs w:val="24"/>
        </w:rPr>
      </w:pPr>
    </w:p>
    <w:p>
      <w:pPr>
        <w:pStyle w:val="29"/>
        <w:rPr>
          <w:rFonts w:hint="default" w:ascii="Times New Roman" w:hAnsi="Times New Roman" w:eastAsia="宋体" w:cs="Times New Roman"/>
          <w:b/>
          <w:bCs/>
          <w:color w:val="auto"/>
          <w:sz w:val="24"/>
          <w:szCs w:val="24"/>
        </w:rPr>
      </w:pPr>
    </w:p>
    <w:p>
      <w:pPr>
        <w:pStyle w:val="29"/>
        <w:rPr>
          <w:rFonts w:hint="default" w:ascii="Times New Roman" w:hAnsi="Times New Roman" w:eastAsia="宋体" w:cs="Times New Roman"/>
          <w:b/>
          <w:bCs/>
          <w:color w:val="auto"/>
          <w:sz w:val="24"/>
          <w:szCs w:val="24"/>
        </w:rPr>
      </w:pPr>
    </w:p>
    <w:p>
      <w:pPr>
        <w:pStyle w:val="29"/>
        <w:rPr>
          <w:rFonts w:hint="default" w:ascii="Times New Roman" w:hAnsi="Times New Roman" w:eastAsia="宋体" w:cs="Times New Roman"/>
          <w:b/>
          <w:bCs/>
          <w:color w:val="auto"/>
          <w:sz w:val="24"/>
          <w:szCs w:val="24"/>
        </w:rPr>
      </w:pPr>
    </w:p>
    <w:p>
      <w:pPr>
        <w:widowControl/>
        <w:jc w:val="left"/>
        <w:rPr>
          <w:rFonts w:ascii="仿宋" w:hAnsi="仿宋" w:eastAsia="仿宋" w:cs="仿宋"/>
          <w:b/>
          <w:bCs/>
          <w:color w:val="auto"/>
          <w:kern w:val="0"/>
          <w:sz w:val="28"/>
          <w:szCs w:val="28"/>
          <w:lang w:val="en-US" w:eastAsia="zh-CN"/>
        </w:rPr>
        <w:sectPr>
          <w:headerReference r:id="rId8" w:type="default"/>
          <w:footerReference r:id="rId9" w:type="default"/>
          <w:pgSz w:w="11906" w:h="16838"/>
          <w:pgMar w:top="1440" w:right="1474" w:bottom="1440" w:left="170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widowControl/>
        <w:jc w:val="both"/>
        <w:outlineLvl w:val="9"/>
        <w:rPr>
          <w:rFonts w:hint="eastAsia" w:ascii="Times New Roman" w:hAnsi="Times New Roman" w:eastAsia="仿宋" w:cs="Times New Roman"/>
          <w:b/>
          <w:bCs/>
          <w:color w:val="auto"/>
          <w:kern w:val="0"/>
          <w:sz w:val="28"/>
          <w:szCs w:val="28"/>
          <w:lang w:val="en-US" w:eastAsia="zh-CN"/>
        </w:rPr>
        <w:sectPr>
          <w:pgSz w:w="23757" w:h="16783" w:orient="landscape"/>
          <w:pgMar w:top="1020" w:right="1020" w:bottom="1020" w:left="102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ascii="Calibri" w:hAnsi="Calibri" w:eastAsia="宋体" w:cs="黑体"/>
          <w:color w:val="auto"/>
          <w:kern w:val="2"/>
          <w:sz w:val="21"/>
          <w:szCs w:val="22"/>
          <w:lang w:val="en-US" w:eastAsia="zh-CN" w:bidi="ar-SA"/>
        </w:rPr>
        <w:pict>
          <v:shape id="图片 5" o:spid="_x0000_s1141" o:spt="75" type="#_x0000_t75" style="position:absolute;left:0pt;margin-left:-33.95pt;margin-top:143.7pt;height:751.7pt;width:1205.15pt;mso-wrap-distance-left:9pt;mso-wrap-distance-right:9pt;z-index:-251658240;mso-width-relative:page;mso-height-relative:page;" fillcolor="#FFFFFF" filled="f" o:preferrelative="t" stroked="f" coordsize="21600,21600" wrapcoords="0 0 0 21551 21561 21551 21561 0 0 0">
            <v:path/>
            <v:fill on="f" color2="#FFFFFF" focussize="0,0"/>
            <v:stroke on="f"/>
            <v:imagedata r:id="rId33" gain="65536f" blacklevel="0f" gamma="0" o:title=""/>
            <o:lock v:ext="edit" position="f" selection="f" grouping="f" rotation="f" cropping="f" text="f" aspectratio="t"/>
            <w10:wrap type="tight"/>
          </v:shape>
        </w:pict>
      </w:r>
      <w:r>
        <w:rPr>
          <w:rFonts w:ascii="Calibri" w:hAnsi="Calibri" w:eastAsia="宋体" w:cs="黑体"/>
          <w:color w:val="auto"/>
          <w:kern w:val="2"/>
          <w:sz w:val="21"/>
          <w:szCs w:val="22"/>
          <w:lang w:val="en-US" w:eastAsia="zh-CN" w:bidi="ar-SA"/>
        </w:rPr>
        <w:pict>
          <v:shape id="图片 3" o:spid="_x0000_s1142" o:spt="75" type="#_x0000_t75" style="position:absolute;left:0pt;margin-left:86.65pt;margin-top:640.5pt;height:17pt;width:18.5pt;mso-wrap-distance-left:9pt;mso-wrap-distance-right:9pt;z-index:-251455488;mso-width-relative:page;mso-height-relative:page;" fillcolor="#FFFFFF" filled="f" o:preferrelative="t" stroked="f" coordsize="21600,21600" wrapcoords="0 0 0 19694 19907 19694 19907 0 0 0">
            <v:path/>
            <v:fill on="f" color2="#FFFFFF" focussize="0,0"/>
            <v:stroke on="f"/>
            <v:imagedata r:id="rId34" gain="65536f" blacklevel="0f" gamma="0" o:title=""/>
            <o:lock v:ext="edit" position="f" selection="f" grouping="f" rotation="f" cropping="f" text="f" aspectratio="t"/>
            <w10:wrap type="tight"/>
          </v:shape>
        </w:pict>
      </w:r>
      <w:r>
        <w:rPr>
          <w:rFonts w:ascii="Calibri" w:hAnsi="Calibri" w:eastAsia="宋体" w:cs="黑体"/>
          <w:color w:val="auto"/>
          <w:kern w:val="2"/>
          <w:sz w:val="21"/>
          <w:szCs w:val="22"/>
          <w:lang w:val="en-US" w:eastAsia="zh-CN" w:bidi="ar-SA"/>
        </w:rPr>
        <w:pict>
          <v:rect id="矩形 374" o:spid="_x0000_s1143" o:spt="1" style="position:absolute;left:0pt;margin-left:54.25pt;margin-top:636.55pt;height:24.7pt;width:153.55pt;z-index:25168588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rPr>
                      <w:rFonts w:hint="eastAsia" w:eastAsia="宋体"/>
                      <w:lang w:eastAsia="zh-CN"/>
                    </w:rPr>
                  </w:pPr>
                  <w:r>
                    <w:rPr>
                      <w:rFonts w:hint="eastAsia"/>
                      <w:lang w:eastAsia="zh-CN"/>
                    </w:rPr>
                    <w:t>图例：</w:t>
                  </w:r>
                  <w:r>
                    <w:rPr>
                      <w:rFonts w:hint="eastAsia"/>
                      <w:lang w:val="en-US" w:eastAsia="zh-CN"/>
                    </w:rPr>
                    <w:t xml:space="preserve">  </w:t>
                  </w:r>
                  <w:r>
                    <w:rPr>
                      <w:rFonts w:hint="eastAsia"/>
                      <w:lang w:eastAsia="zh-CN"/>
                    </w:rPr>
                    <w:t>室外消防栓</w:t>
                  </w:r>
                </w:p>
              </w:txbxContent>
            </v:textbox>
          </v:rect>
        </w:pict>
      </w:r>
      <w:r>
        <w:rPr>
          <w:rFonts w:hint="default" w:ascii="Times New Roman" w:hAnsi="Times New Roman" w:eastAsia="仿宋" w:cs="Times New Roman"/>
          <w:b/>
          <w:bCs/>
          <w:color w:val="auto"/>
          <w:kern w:val="0"/>
          <w:sz w:val="28"/>
          <w:szCs w:val="28"/>
          <w:lang w:val="en-US" w:eastAsia="zh-CN"/>
        </w:rPr>
        <w:t>附件 5.2 应急资源分布图</w:t>
      </w:r>
      <w:r>
        <w:rPr>
          <w:rFonts w:hint="eastAsia" w:ascii="Times New Roman" w:hAnsi="Times New Roman" w:eastAsia="仿宋" w:cs="Times New Roman"/>
          <w:b/>
          <w:bCs/>
          <w:color w:val="auto"/>
          <w:kern w:val="0"/>
          <w:sz w:val="28"/>
          <w:szCs w:val="28"/>
          <w:lang w:val="en-US" w:eastAsia="zh-CN"/>
        </w:rPr>
        <w:t>（室外消防栓及报警装置分布图）</w:t>
      </w:r>
    </w:p>
    <w:p>
      <w:pPr>
        <w:pStyle w:val="29"/>
        <w:rPr>
          <w:color w:val="auto"/>
          <w:lang w:val="en-US" w:eastAsia="zh-CN"/>
        </w:rPr>
        <w:sectPr>
          <w:pgSz w:w="23757" w:h="16783" w:orient="landscape"/>
          <w:pgMar w:top="1020" w:right="1020" w:bottom="1020" w:left="102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Calibri" w:eastAsia="宋体" w:cs="宋体"/>
          <w:color w:val="auto"/>
          <w:kern w:val="0"/>
          <w:sz w:val="24"/>
          <w:szCs w:val="24"/>
          <w:lang w:eastAsia="zh-CN"/>
        </w:rPr>
        <w:pict>
          <v:shape id="_x0000_i1032" o:spt="75" type="#_x0000_t75" style="height:720.3pt;width:1096.9pt;" fillcolor="#FFFFFF" filled="f" o:preferrelative="t" stroked="f" coordsize="21600,21600">
            <v:path/>
            <v:fill on="f" color2="#FFFFFF" focussize="0,0"/>
            <v:stroke on="f"/>
            <v:imagedata r:id="rId35" gain="65536f" blacklevel="0f" gamma="0" o:title=""/>
            <o:lock v:ext="edit" position="f" selection="f" grouping="f" rotation="f" cropping="f" text="f" aspectratio="t"/>
            <w10:wrap type="none"/>
            <w10:anchorlock/>
          </v:shape>
        </w:pict>
      </w:r>
    </w:p>
    <w:p>
      <w:pPr>
        <w:widowControl/>
        <w:jc w:val="left"/>
        <w:rPr>
          <w:rFonts w:hint="default" w:ascii="Times New Roman" w:hAnsi="Times New Roman" w:eastAsia="仿宋" w:cs="Times New Roman"/>
          <w:b/>
          <w:bCs/>
          <w:color w:val="auto"/>
          <w:kern w:val="0"/>
          <w:sz w:val="24"/>
          <w:szCs w:val="24"/>
          <w:lang w:val="en-US" w:eastAsia="zh-CN"/>
        </w:rPr>
      </w:pPr>
      <w:r>
        <w:rPr>
          <w:rFonts w:hint="default" w:ascii="Times New Roman" w:hAnsi="Times New Roman" w:eastAsia="仿宋" w:cs="Times New Roman"/>
          <w:b/>
          <w:bCs/>
          <w:color w:val="auto"/>
          <w:kern w:val="0"/>
          <w:sz w:val="24"/>
          <w:szCs w:val="24"/>
          <w:lang w:val="en-US" w:eastAsia="zh-CN"/>
        </w:rPr>
        <w:t xml:space="preserve">附件5.3江苏超力建材科技有限公司环境应急资源管理维护更新管理办法 </w:t>
      </w:r>
    </w:p>
    <w:p>
      <w:pPr>
        <w:widowControl/>
        <w:spacing w:line="240" w:lineRule="auto"/>
        <w:jc w:val="left"/>
        <w:rPr>
          <w:rFonts w:hint="default" w:ascii="Times New Roman" w:hAnsi="Times New Roman" w:eastAsia="仿宋" w:cs="Times New Roman"/>
          <w:b/>
          <w:bCs/>
          <w:color w:val="auto"/>
        </w:rPr>
      </w:pPr>
      <w:r>
        <w:rPr>
          <w:rFonts w:hint="default" w:ascii="Times New Roman" w:hAnsi="Times New Roman" w:eastAsia="仿宋" w:cs="Times New Roman"/>
          <w:b/>
          <w:bCs/>
          <w:color w:val="auto"/>
          <w:kern w:val="0"/>
          <w:sz w:val="28"/>
          <w:szCs w:val="28"/>
          <w:lang w:val="en-US" w:eastAsia="zh-CN"/>
        </w:rPr>
        <w:t>一、目的</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为完善我矿应急管理体系，加强应急救援工作，保证应急救援物资装备发挥其应有作用，有效应对各种突发事件的发生，特制定应急救援物资装备管理及维护制度。</w:t>
      </w:r>
    </w:p>
    <w:p>
      <w:pPr>
        <w:widowControl/>
        <w:spacing w:line="240" w:lineRule="auto"/>
        <w:jc w:val="left"/>
        <w:rPr>
          <w:rFonts w:hint="default" w:ascii="Times New Roman" w:hAnsi="Times New Roman" w:eastAsia="仿宋" w:cs="Times New Roman"/>
          <w:b/>
          <w:bCs/>
          <w:color w:val="auto"/>
        </w:rPr>
      </w:pPr>
      <w:r>
        <w:rPr>
          <w:rFonts w:hint="default" w:ascii="Times New Roman" w:hAnsi="Times New Roman" w:eastAsia="仿宋" w:cs="Times New Roman"/>
          <w:b/>
          <w:bCs/>
          <w:color w:val="auto"/>
          <w:kern w:val="0"/>
          <w:sz w:val="28"/>
          <w:szCs w:val="28"/>
          <w:lang w:val="en-US" w:eastAsia="zh-CN"/>
        </w:rPr>
        <w:t xml:space="preserve">二、适用范围 </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 xml:space="preserve">适用公司自有环境风险应急物资、区域联动互助单位的环境风险应急物资的管理。 </w:t>
      </w:r>
    </w:p>
    <w:p>
      <w:pPr>
        <w:widowControl/>
        <w:spacing w:line="240" w:lineRule="auto"/>
        <w:jc w:val="left"/>
        <w:rPr>
          <w:rFonts w:hint="default" w:ascii="Times New Roman" w:hAnsi="Times New Roman" w:eastAsia="仿宋" w:cs="Times New Roman"/>
          <w:b/>
          <w:bCs/>
          <w:color w:val="auto"/>
          <w:kern w:val="0"/>
          <w:sz w:val="28"/>
          <w:szCs w:val="28"/>
          <w:lang w:val="en-US" w:eastAsia="zh-CN"/>
        </w:rPr>
      </w:pPr>
      <w:r>
        <w:rPr>
          <w:rFonts w:hint="default" w:ascii="Times New Roman" w:hAnsi="Times New Roman" w:eastAsia="仿宋" w:cs="Times New Roman"/>
          <w:b/>
          <w:bCs/>
          <w:color w:val="auto"/>
          <w:kern w:val="0"/>
          <w:sz w:val="28"/>
          <w:szCs w:val="28"/>
          <w:lang w:val="en-US" w:eastAsia="zh-CN"/>
        </w:rPr>
        <w:t>三、制度要求</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1、应急救援物资装备为应对突发事件而准备，在应急救援救护中具有举足轻重的作用， 所以必须保证应急救援物资装备在日常的完备有效，不得随意使用或挪作他用。</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2、各队组对现有的应急救援物资装备负有储存和妥善保管的责任对救援物资装备应定人、 定点、定期管理。</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3、对于具备应急救援器材箱的队组应明确应急救援器材箱钥匙所在不得随意挪动，保证在突发事件时应急救援器材箱可以顺利开启。</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各个救援物资装备责任人应按规定定期对物资装备进行检查、维护、清洁及时更新有效期以外或状态不良的物资装备、补充缺失的物资装备、定期进行清洁擦拭。如发现较为严重问题时，应及时上报，并将检查、维护、清洁情况记录在案。</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5、加强对员工的培训教育， 使员工掌握应急救援物资装备的正确使用和维护保养方法， 确保应急救援物资装备在日常情况下的完备有效。</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6、供应科经常对应急救援物资装备存储、检查、维护、擦拭、记录情况进行督导，促进对救援物资装备管理水平的持续提高。</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7、对于工作不到位现象，供应科会同安监科，有权根据相关管理规定对责任人进行处罚，对于由于工作失误而造成的后果按矿相关管理规定执行。</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8、不得随意对应急救援物资装备进行拆解维修。</w:t>
      </w:r>
    </w:p>
    <w:p>
      <w:pPr>
        <w:widowControl/>
        <w:spacing w:line="240" w:lineRule="auto"/>
        <w:jc w:val="left"/>
        <w:rPr>
          <w:rFonts w:hint="default" w:ascii="Times New Roman" w:hAnsi="Times New Roman" w:eastAsia="仿宋" w:cs="Times New Roman"/>
          <w:b/>
          <w:bCs/>
          <w:color w:val="auto"/>
          <w:kern w:val="0"/>
          <w:sz w:val="28"/>
          <w:szCs w:val="28"/>
          <w:lang w:val="en-US" w:eastAsia="zh-CN"/>
        </w:rPr>
      </w:pPr>
      <w:r>
        <w:rPr>
          <w:rFonts w:hint="default" w:ascii="Times New Roman" w:hAnsi="Times New Roman" w:eastAsia="仿宋" w:cs="Times New Roman"/>
          <w:b/>
          <w:bCs/>
          <w:color w:val="auto"/>
          <w:kern w:val="0"/>
          <w:sz w:val="28"/>
          <w:szCs w:val="28"/>
          <w:lang w:val="en-US" w:eastAsia="zh-CN"/>
        </w:rPr>
        <w:t>四、管理制度</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（一） 安全消防制度</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 xml:space="preserve">1 . </w:t>
      </w:r>
      <w:r>
        <w:rPr>
          <w:rFonts w:hint="default" w:ascii="Times New Roman" w:hAnsi="Times New Roman" w:eastAsia="仿宋" w:cs="Times New Roman"/>
          <w:color w:val="auto"/>
          <w:sz w:val="24"/>
          <w:szCs w:val="24"/>
          <w:lang w:eastAsia="zh-CN"/>
        </w:rPr>
        <w:t>仓库、罐区、生产车间</w:t>
      </w:r>
      <w:r>
        <w:rPr>
          <w:rFonts w:hint="default" w:ascii="Times New Roman" w:hAnsi="Times New Roman" w:eastAsia="仿宋" w:cs="Times New Roman"/>
          <w:color w:val="auto"/>
          <w:sz w:val="24"/>
          <w:szCs w:val="24"/>
        </w:rPr>
        <w:t>要建立消防组织，有明确分工，实行防火责任制，严禁烟火，各个防火标志要悬挂在醒目位置，</w:t>
      </w:r>
      <w:r>
        <w:rPr>
          <w:rFonts w:hint="default" w:ascii="Times New Roman" w:hAnsi="Times New Roman" w:eastAsia="仿宋" w:cs="Times New Roman"/>
          <w:color w:val="auto"/>
          <w:sz w:val="24"/>
          <w:szCs w:val="24"/>
          <w:lang w:eastAsia="zh-CN"/>
        </w:rPr>
        <w:t>各风险单元</w:t>
      </w:r>
      <w:r>
        <w:rPr>
          <w:rFonts w:hint="default" w:ascii="Times New Roman" w:hAnsi="Times New Roman" w:eastAsia="仿宋" w:cs="Times New Roman"/>
          <w:color w:val="auto"/>
          <w:sz w:val="24"/>
          <w:szCs w:val="24"/>
        </w:rPr>
        <w:t>要配齐各种消防设施、器具并定期检查、维修，持完好。应留有消防通道，及时清理各种易燃杂物，发现火灾及时鸣笛并打119电话报警，通知本单位负责人积极组织人员扑救。</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 xml:space="preserve">2. </w:t>
      </w:r>
      <w:r>
        <w:rPr>
          <w:rFonts w:hint="default" w:ascii="Times New Roman" w:hAnsi="Times New Roman" w:eastAsia="仿宋" w:cs="Times New Roman"/>
          <w:color w:val="auto"/>
          <w:sz w:val="24"/>
          <w:szCs w:val="24"/>
          <w:lang w:eastAsia="zh-CN"/>
        </w:rPr>
        <w:t>化学品</w:t>
      </w:r>
      <w:r>
        <w:rPr>
          <w:rFonts w:hint="default" w:ascii="Times New Roman" w:hAnsi="Times New Roman" w:eastAsia="仿宋" w:cs="Times New Roman"/>
          <w:color w:val="auto"/>
          <w:sz w:val="24"/>
          <w:szCs w:val="24"/>
        </w:rPr>
        <w:t>的装卸，搬运和堆码放，要轻起轻放，严禁野蛮装卸和三违，确保人员、 设备物资安全。</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 保管员离开</w:t>
      </w:r>
      <w:r>
        <w:rPr>
          <w:rFonts w:hint="default" w:ascii="Times New Roman" w:hAnsi="Times New Roman" w:eastAsia="仿宋" w:cs="Times New Roman"/>
          <w:color w:val="auto"/>
          <w:sz w:val="24"/>
          <w:szCs w:val="24"/>
          <w:lang w:eastAsia="zh-CN"/>
        </w:rPr>
        <w:t>仓库</w:t>
      </w:r>
      <w:r>
        <w:rPr>
          <w:rFonts w:hint="default" w:ascii="Times New Roman" w:hAnsi="Times New Roman" w:eastAsia="仿宋" w:cs="Times New Roman"/>
          <w:color w:val="auto"/>
          <w:sz w:val="24"/>
          <w:szCs w:val="24"/>
        </w:rPr>
        <w:t>时要做到人走、窗关、灯闭、门落锁。</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 库区根据季节做好防雷电、防洪、防风、防冻措施，消除各种自然灾害和事故。</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（二） 物资保管保养制度</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1、物资的保管要依据物资的类别、 性质和要求安排适应的存放仓库、场地， 做到分类存放，合理布局，方便收发作业，安全整洁。</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2、物资分区、分类堆码，按机型和规格型号系列化“五五化” 摆放，货架上的物资要上摆轻下摆重，顶上摆放的不常用。</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3、加强物资保管和保养工作，做到“六无” 保存，即无损坏、无丢失、无锈蚀、无腐烂、无霉烂变质、无变形。</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4、库存物资要坚持永续盘点和定期盘点，做到帐</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卡、物、资金四对口</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盘盈和盘亏</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损坏物资要如实上报</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并查明原因，报领导审批，保管员不得以盈补亏来将盘盈和损坏物资自行处理。</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（三） 物资发放制度</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 . 严格领发料手续</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保管员发料时</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要严格按规定定期签发的领料单或让售单的物资品名</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规格数量发放，实发物资论件的不得多发或少发</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小件定量包装的尽量整包发放</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料单和印签齐全。</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 发料要一次发清</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当面点清</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凡已办完出库手续， 领用单位不能领出的， 或当月不能领出的设备及大宗材料</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保管员应与领料人做好记录，双方签字认可， 办理代保管手续。</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 出库物资的过磅、点件、检尺、计量要公平，磅码单、检尺数、材质检验单设备两证(产品合格证，质量检验证)说明书及随机工具，零配件要在发料时一并发出。</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 凡规定交旧领新或退换包装品物资必须坚持交旧领新和回收制度。</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 保管员发料要贯彻物资“先进先出” 有保存期的先发出，不合格物资不出库的原则。</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 保管不得以任何理由</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在发料时以盈补亏</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刁难领料人员补单，为自己承担丢失、串发、损坏物资的责任。</w:t>
      </w:r>
    </w:p>
    <w:p>
      <w:pPr>
        <w:widowControl/>
        <w:spacing w:line="240" w:lineRule="auto"/>
        <w:jc w:val="left"/>
        <w:rPr>
          <w:rFonts w:hint="default" w:ascii="Times New Roman" w:hAnsi="Times New Roman" w:eastAsia="仿宋" w:cs="Times New Roman"/>
          <w:b/>
          <w:bCs/>
          <w:color w:val="auto"/>
          <w:kern w:val="0"/>
          <w:sz w:val="28"/>
          <w:szCs w:val="28"/>
          <w:lang w:val="en-US" w:eastAsia="zh-CN"/>
        </w:rPr>
      </w:pPr>
      <w:r>
        <w:rPr>
          <w:rFonts w:hint="default" w:ascii="Times New Roman" w:hAnsi="Times New Roman" w:eastAsia="仿宋" w:cs="Times New Roman"/>
          <w:b/>
          <w:bCs/>
          <w:color w:val="auto"/>
          <w:kern w:val="0"/>
          <w:sz w:val="28"/>
          <w:szCs w:val="28"/>
          <w:lang w:val="en-US" w:eastAsia="zh-CN"/>
        </w:rPr>
        <w:t>五、维护制度</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 一）日常检查</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1、设备或设施、防护器材的每日检查应由所在岗位执行。检查器材或设备的功能是否正常</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如发现不正常</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应在日登记表中记录并及时处理。</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2、安全科检查备品备件、专用工具等是否齐备</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并处于安全无损和适当保护状态。</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5、消火栓箱及箱内配装的消防部件的外观无破损、涂层无脱落，箱门玻璃完好无缺。</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6、消火栓、供水阀门及消防卷盘等所有转动部位应定期加注润滑油。</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7、自动报警装置应定期检查是否损坏，及时更换。</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 二 ） 灭火器材的定期检查</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 每周应对灭火器进行检查，确保其始终处于完好状态：</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1、检查灭火器铅封是否完好。灭火器已经开启后即使喷出不多</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也必须按规定要求在充装</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充装后应作密封试验并牢固铅封。</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2、检查压力表指针是否在绿色区域，如指针在红色区域，应查明原因，检修后重新灌装。</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3、检查可见部位防腐层的完好程度，轻度脱落的应及时补好，明显腐蚀的应送消防专业维修部门进行耐压试验，合格者再进行防腐处理。</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4、检查灭火器可见零件是否完整；有无变形、松动、锈蚀（如压杆）和损坏，装配是否合理。</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5、检查喷嘴是否通畅，如有堵塞应及时疏通。</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B、定期检查</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1、每半年应对灭火器的重量和压力进行一次彻底检查，并应及时充填。</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2、对干粉灭火器每年检查一次出粉管</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进气管</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喷管</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喷嘴和喷枪等部分有无干粉堵塞，出粉管防潮堵、膜是否破裂。筒体内干粉是否结块。</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3、灭火器应进行水压试验，一般</w:t>
      </w:r>
      <w:r>
        <w:rPr>
          <w:rFonts w:hint="default"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rPr>
        <w:t>年一次。化学泡沫灭火器充装灭火剂两年后</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每年一次。加压试验合格方可继续使用</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并标注检查日期。</w:t>
      </w:r>
    </w:p>
    <w:p>
      <w:pPr>
        <w:widowControl w:val="0"/>
        <w:wordWrap/>
        <w:adjustRightInd w:val="0"/>
        <w:snapToGrid w:val="0"/>
        <w:spacing w:line="24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4、检查灭火器放置环境及放置位置是否符合设计要求，灭火器的保护措施是否正常</w:t>
      </w:r>
      <w:r>
        <w:rPr>
          <w:rFonts w:hint="default" w:ascii="Times New Roman" w:hAnsi="Times New Roman" w:eastAsia="仿宋" w:cs="Times New Roman"/>
          <w:color w:val="auto"/>
          <w:sz w:val="24"/>
          <w:szCs w:val="24"/>
          <w:lang w:eastAsia="zh-CN"/>
        </w:rPr>
        <w:t>。</w:t>
      </w:r>
    </w:p>
    <w:p>
      <w:pPr>
        <w:rPr>
          <w:rFonts w:hint="default" w:ascii="Times New Roman" w:hAnsi="Times New Roman" w:eastAsia="仿宋" w:cs="Times New Roman"/>
          <w:b/>
          <w:bCs/>
          <w:color w:val="auto"/>
          <w:kern w:val="0"/>
          <w:sz w:val="28"/>
          <w:szCs w:val="28"/>
          <w:lang w:val="en-US" w:eastAsia="zh-CN"/>
        </w:rPr>
      </w:pPr>
      <w:r>
        <w:rPr>
          <w:rFonts w:hint="default" w:ascii="Times New Roman" w:hAnsi="Times New Roman" w:eastAsia="仿宋" w:cs="Times New Roman"/>
          <w:b/>
          <w:bCs/>
          <w:color w:val="auto"/>
          <w:kern w:val="0"/>
          <w:sz w:val="28"/>
          <w:szCs w:val="28"/>
          <w:lang w:val="en-US" w:eastAsia="zh-CN"/>
        </w:rPr>
        <w:br w:type="page"/>
      </w:r>
    </w:p>
    <w:p>
      <w:pPr>
        <w:widowControl/>
        <w:jc w:val="left"/>
        <w:rPr>
          <w:rFonts w:hint="default" w:ascii="Times New Roman" w:hAnsi="Times New Roman" w:cs="Times New Roman"/>
          <w:b/>
          <w:bCs/>
          <w:color w:val="auto"/>
        </w:rPr>
      </w:pPr>
      <w:r>
        <w:rPr>
          <w:rFonts w:hint="default" w:ascii="Times New Roman" w:hAnsi="Times New Roman" w:eastAsia="仿宋" w:cs="Times New Roman"/>
          <w:b/>
          <w:bCs/>
          <w:color w:val="auto"/>
          <w:kern w:val="0"/>
          <w:sz w:val="28"/>
          <w:szCs w:val="28"/>
          <w:lang w:val="en-US" w:eastAsia="zh-CN"/>
        </w:rPr>
        <w:t xml:space="preserve">附件 5.4 </w:t>
      </w:r>
    </w:p>
    <w:p>
      <w:pPr>
        <w:adjustRightInd w:val="0"/>
        <w:snapToGrid w:val="0"/>
        <w:spacing w:afterLines="30"/>
        <w:jc w:val="center"/>
        <w:rPr>
          <w:rFonts w:ascii="宋体" w:hAnsi="宋体" w:eastAsia="宋体"/>
          <w:color w:val="auto"/>
          <w:sz w:val="21"/>
          <w:szCs w:val="21"/>
          <w:lang w:val="en-US" w:eastAsia="zh-CN"/>
        </w:rPr>
      </w:pPr>
      <w:r>
        <w:rPr>
          <w:rFonts w:ascii="宋体" w:hAnsi="宋体" w:eastAsia="宋体"/>
          <w:color w:val="auto"/>
          <w:sz w:val="21"/>
          <w:szCs w:val="21"/>
          <w:lang w:val="en-US" w:eastAsia="zh-CN"/>
        </w:rPr>
        <w:t>公司环境应急资源调查表</w:t>
      </w:r>
    </w:p>
    <w:p>
      <w:pPr>
        <w:adjustRightInd w:val="0"/>
        <w:snapToGrid w:val="0"/>
        <w:spacing w:afterLines="30"/>
        <w:jc w:val="left"/>
        <w:rPr>
          <w:rFonts w:hint="default" w:eastAsia="宋体"/>
          <w:b/>
          <w:color w:val="auto"/>
          <w:sz w:val="24"/>
          <w:szCs w:val="24"/>
          <w:lang w:val="en-US" w:eastAsia="zh-CN"/>
        </w:rPr>
      </w:pPr>
      <w:r>
        <w:rPr>
          <w:rFonts w:hint="eastAsia"/>
          <w:b/>
          <w:color w:val="auto"/>
          <w:sz w:val="24"/>
          <w:szCs w:val="24"/>
        </w:rPr>
        <w:t>调查人及联系方式：</w:t>
      </w:r>
      <w:r>
        <w:rPr>
          <w:rFonts w:hint="default" w:ascii="Times New Roman" w:hAnsi="Times New Roman" w:cs="Times New Roman"/>
          <w:b/>
          <w:color w:val="auto"/>
          <w:sz w:val="24"/>
          <w:szCs w:val="24"/>
        </w:rPr>
        <w:t xml:space="preserve">张瑶15062181238 </w:t>
      </w:r>
      <w:r>
        <w:rPr>
          <w:rFonts w:hint="eastAsia"/>
          <w:b/>
          <w:color w:val="auto"/>
          <w:sz w:val="24"/>
          <w:szCs w:val="24"/>
        </w:rPr>
        <w:t xml:space="preserve">  审核人及联系方式：</w:t>
      </w:r>
      <w:r>
        <w:rPr>
          <w:rFonts w:hint="eastAsia"/>
          <w:b/>
          <w:color w:val="auto"/>
          <w:sz w:val="24"/>
          <w:szCs w:val="24"/>
          <w:lang w:eastAsia="zh-CN"/>
        </w:rPr>
        <w:t>黄立军</w:t>
      </w:r>
      <w:r>
        <w:rPr>
          <w:rFonts w:hint="eastAsia" w:ascii="Times New Roman" w:hAnsi="Times New Roman" w:cs="Times New Roman"/>
          <w:b/>
          <w:color w:val="auto"/>
          <w:sz w:val="24"/>
          <w:szCs w:val="24"/>
          <w:lang w:val="en-US" w:eastAsia="zh-CN"/>
        </w:rPr>
        <w:t xml:space="preserve"> 13852041875</w:t>
      </w:r>
    </w:p>
    <w:tbl>
      <w:tblPr>
        <w:tblStyle w:val="21"/>
        <w:tblW w:w="8854" w:type="dxa"/>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05"/>
        <w:gridCol w:w="1168"/>
        <w:gridCol w:w="955"/>
        <w:gridCol w:w="1078"/>
        <w:gridCol w:w="1227"/>
        <w:gridCol w:w="1107"/>
        <w:gridCol w:w="553"/>
        <w:gridCol w:w="554"/>
        <w:gridCol w:w="11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8854" w:type="dxa"/>
            <w:gridSpan w:val="9"/>
            <w:vAlign w:val="center"/>
          </w:tcPr>
          <w:p>
            <w:pPr>
              <w:adjustRightInd w:val="0"/>
              <w:snapToGrid w:val="0"/>
              <w:jc w:val="center"/>
              <w:rPr>
                <w:rFonts w:hint="eastAsia" w:ascii="黑体" w:hAnsi="黑体" w:eastAsia="黑体"/>
                <w:color w:val="auto"/>
                <w:sz w:val="21"/>
                <w:szCs w:val="21"/>
              </w:rPr>
            </w:pPr>
            <w:r>
              <w:rPr>
                <w:rFonts w:hint="eastAsia" w:ascii="黑体" w:hAnsi="黑体" w:eastAsia="黑体"/>
                <w:color w:val="auto"/>
                <w:sz w:val="21"/>
                <w:szCs w:val="21"/>
              </w:rPr>
              <w:t>企事业单位基本信息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单位名称</w:t>
            </w:r>
          </w:p>
        </w:tc>
        <w:tc>
          <w:tcPr>
            <w:tcW w:w="7749" w:type="dxa"/>
            <w:gridSpan w:val="8"/>
            <w:vAlign w:val="center"/>
          </w:tcPr>
          <w:p>
            <w:pPr>
              <w:adjustRightInd w:val="0"/>
              <w:snapToGrid w:val="0"/>
              <w:jc w:val="center"/>
              <w:rPr>
                <w:rFonts w:hint="eastAsia" w:ascii="宋体" w:hAnsi="宋体" w:eastAsia="宋体"/>
                <w:color w:val="auto"/>
                <w:sz w:val="21"/>
                <w:szCs w:val="21"/>
                <w:lang w:eastAsia="zh-CN"/>
              </w:rPr>
            </w:pPr>
            <w:r>
              <w:rPr>
                <w:rFonts w:hint="eastAsia" w:ascii="宋体" w:hAnsi="宋体" w:eastAsia="宋体" w:cs="宋体"/>
                <w:b w:val="0"/>
                <w:bCs w:val="0"/>
                <w:color w:val="auto"/>
                <w:sz w:val="24"/>
                <w:szCs w:val="24"/>
                <w:lang w:val="en-US" w:eastAsia="zh-CN"/>
              </w:rPr>
              <w:t xml:space="preserve">江苏超力建材科技有限公司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物资库位置</w:t>
            </w:r>
          </w:p>
        </w:tc>
        <w:tc>
          <w:tcPr>
            <w:tcW w:w="5535" w:type="dxa"/>
            <w:gridSpan w:val="5"/>
            <w:vAlign w:val="center"/>
          </w:tcPr>
          <w:p>
            <w:pPr>
              <w:adjustRightInd w:val="0"/>
              <w:snapToGrid w:val="0"/>
              <w:jc w:val="center"/>
              <w:rPr>
                <w:rFonts w:hint="eastAsia" w:ascii="宋体" w:hAnsi="宋体" w:eastAsia="宋体"/>
                <w:color w:val="auto"/>
                <w:sz w:val="21"/>
                <w:szCs w:val="21"/>
                <w:lang w:eastAsia="zh-CN"/>
              </w:rPr>
            </w:pPr>
          </w:p>
        </w:tc>
        <w:tc>
          <w:tcPr>
            <w:tcW w:w="1107" w:type="dxa"/>
            <w:gridSpan w:val="2"/>
            <w:vAlign w:val="center"/>
          </w:tcPr>
          <w:p>
            <w:pPr>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经纬度</w:t>
            </w:r>
          </w:p>
        </w:tc>
        <w:tc>
          <w:tcPr>
            <w:tcW w:w="1107" w:type="dxa"/>
            <w:vAlign w:val="center"/>
          </w:tcPr>
          <w:p>
            <w:pPr>
              <w:adjustRightInd w:val="0"/>
              <w:snapToGrid w:val="0"/>
              <w:jc w:val="center"/>
              <w:rPr>
                <w:rFonts w:hint="eastAsia" w:ascii="宋体" w:hAnsi="宋体" w:eastAsia="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Merge w:val="restart"/>
            <w:vAlign w:val="center"/>
          </w:tcPr>
          <w:p>
            <w:pPr>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负责人</w:t>
            </w:r>
          </w:p>
        </w:tc>
        <w:tc>
          <w:tcPr>
            <w:tcW w:w="1168" w:type="dxa"/>
            <w:vAlign w:val="center"/>
          </w:tcPr>
          <w:p>
            <w:pPr>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姓名</w:t>
            </w:r>
          </w:p>
        </w:tc>
        <w:tc>
          <w:tcPr>
            <w:tcW w:w="2033" w:type="dxa"/>
            <w:gridSpan w:val="2"/>
            <w:vAlign w:val="center"/>
          </w:tcPr>
          <w:p>
            <w:pPr>
              <w:adjustRightInd w:val="0"/>
              <w:snapToGrid w:val="0"/>
              <w:jc w:val="center"/>
              <w:rPr>
                <w:rFonts w:hint="eastAsia" w:ascii="宋体" w:hAnsi="宋体" w:eastAsia="宋体"/>
                <w:color w:val="auto"/>
                <w:sz w:val="21"/>
                <w:szCs w:val="21"/>
              </w:rPr>
            </w:pPr>
            <w:r>
              <w:rPr>
                <w:rFonts w:hint="eastAsia" w:eastAsia="仿宋"/>
                <w:color w:val="auto"/>
                <w:sz w:val="21"/>
                <w:szCs w:val="21"/>
              </w:rPr>
              <w:t>乔亮</w:t>
            </w:r>
          </w:p>
        </w:tc>
        <w:tc>
          <w:tcPr>
            <w:tcW w:w="1227" w:type="dxa"/>
            <w:vMerge w:val="restart"/>
            <w:vAlign w:val="center"/>
          </w:tcPr>
          <w:p>
            <w:pPr>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联系人</w:t>
            </w:r>
          </w:p>
        </w:tc>
        <w:tc>
          <w:tcPr>
            <w:tcW w:w="1660" w:type="dxa"/>
            <w:gridSpan w:val="2"/>
            <w:vAlign w:val="center"/>
          </w:tcPr>
          <w:p>
            <w:pPr>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姓名</w:t>
            </w:r>
          </w:p>
        </w:tc>
        <w:tc>
          <w:tcPr>
            <w:tcW w:w="1661" w:type="dxa"/>
            <w:gridSpan w:val="2"/>
            <w:vAlign w:val="center"/>
          </w:tcPr>
          <w:p>
            <w:pPr>
              <w:adjustRightInd w:val="0"/>
              <w:snapToGrid w:val="0"/>
              <w:jc w:val="center"/>
              <w:rPr>
                <w:rFonts w:hint="eastAsia" w:ascii="宋体" w:hAnsi="宋体" w:eastAsia="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Merge w:val="continue"/>
            <w:vAlign w:val="center"/>
          </w:tcPr>
          <w:p>
            <w:pPr>
              <w:adjustRightInd w:val="0"/>
              <w:snapToGrid w:val="0"/>
              <w:jc w:val="center"/>
              <w:rPr>
                <w:rFonts w:hint="eastAsia" w:ascii="宋体" w:hAnsi="宋体" w:eastAsia="宋体"/>
                <w:color w:val="auto"/>
                <w:sz w:val="21"/>
                <w:szCs w:val="21"/>
              </w:rPr>
            </w:pPr>
          </w:p>
        </w:tc>
        <w:tc>
          <w:tcPr>
            <w:tcW w:w="1168" w:type="dxa"/>
            <w:vAlign w:val="center"/>
          </w:tcPr>
          <w:p>
            <w:pPr>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联系方式</w:t>
            </w:r>
          </w:p>
        </w:tc>
        <w:tc>
          <w:tcPr>
            <w:tcW w:w="2033" w:type="dxa"/>
            <w:gridSpan w:val="2"/>
            <w:vAlign w:val="center"/>
          </w:tcPr>
          <w:p>
            <w:pPr>
              <w:adjustRightInd w:val="0"/>
              <w:snapToGrid w:val="0"/>
              <w:jc w:val="center"/>
              <w:rPr>
                <w:rFonts w:hint="eastAsia" w:ascii="宋体" w:hAnsi="宋体" w:eastAsia="宋体"/>
                <w:color w:val="auto"/>
                <w:sz w:val="21"/>
                <w:szCs w:val="21"/>
              </w:rPr>
            </w:pPr>
            <w:r>
              <w:rPr>
                <w:rFonts w:hint="default" w:ascii="Times New Roman" w:hAnsi="Times New Roman" w:eastAsia="仿宋" w:cs="Times New Roman"/>
                <w:color w:val="auto"/>
                <w:sz w:val="21"/>
                <w:szCs w:val="21"/>
              </w:rPr>
              <w:t>13605202328</w:t>
            </w:r>
          </w:p>
        </w:tc>
        <w:tc>
          <w:tcPr>
            <w:tcW w:w="1227" w:type="dxa"/>
            <w:vMerge w:val="continue"/>
            <w:vAlign w:val="center"/>
          </w:tcPr>
          <w:p>
            <w:pPr>
              <w:adjustRightInd w:val="0"/>
              <w:snapToGrid w:val="0"/>
              <w:spacing w:before="463"/>
              <w:jc w:val="center"/>
              <w:rPr>
                <w:rFonts w:hint="eastAsia" w:ascii="宋体" w:hAnsi="宋体" w:eastAsia="宋体"/>
                <w:color w:val="auto"/>
                <w:sz w:val="21"/>
                <w:szCs w:val="21"/>
              </w:rPr>
            </w:pPr>
          </w:p>
        </w:tc>
        <w:tc>
          <w:tcPr>
            <w:tcW w:w="1660" w:type="dxa"/>
            <w:gridSpan w:val="2"/>
            <w:vAlign w:val="center"/>
          </w:tcPr>
          <w:p>
            <w:pPr>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联系方式</w:t>
            </w:r>
          </w:p>
        </w:tc>
        <w:tc>
          <w:tcPr>
            <w:tcW w:w="1661" w:type="dxa"/>
            <w:gridSpan w:val="2"/>
            <w:vAlign w:val="center"/>
          </w:tcPr>
          <w:p>
            <w:pPr>
              <w:adjustRightInd w:val="0"/>
              <w:snapToGrid w:val="0"/>
              <w:jc w:val="center"/>
              <w:rPr>
                <w:rFonts w:hint="eastAsia" w:ascii="宋体" w:hAnsi="宋体" w:eastAsia="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8854" w:type="dxa"/>
            <w:gridSpan w:val="9"/>
            <w:vAlign w:val="center"/>
          </w:tcPr>
          <w:p>
            <w:pPr>
              <w:adjustRightInd w:val="0"/>
              <w:snapToGrid w:val="0"/>
              <w:jc w:val="center"/>
              <w:rPr>
                <w:rFonts w:hint="eastAsia" w:ascii="宋体" w:hAnsi="宋体" w:eastAsia="宋体"/>
                <w:color w:val="auto"/>
                <w:sz w:val="21"/>
                <w:szCs w:val="21"/>
              </w:rPr>
            </w:pPr>
            <w:r>
              <w:rPr>
                <w:rFonts w:hint="eastAsia" w:ascii="黑体" w:hAnsi="黑体" w:eastAsia="黑体"/>
                <w:color w:val="auto"/>
                <w:sz w:val="21"/>
                <w:szCs w:val="21"/>
              </w:rPr>
              <w:t>环境应急资源信息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序号</w:t>
            </w:r>
          </w:p>
        </w:tc>
        <w:tc>
          <w:tcPr>
            <w:tcW w:w="1168" w:type="dxa"/>
            <w:vAlign w:val="center"/>
          </w:tcPr>
          <w:p>
            <w:pPr>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名称</w:t>
            </w:r>
          </w:p>
        </w:tc>
        <w:tc>
          <w:tcPr>
            <w:tcW w:w="955" w:type="dxa"/>
            <w:vAlign w:val="center"/>
          </w:tcPr>
          <w:p>
            <w:pPr>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品牌</w:t>
            </w:r>
          </w:p>
        </w:tc>
        <w:tc>
          <w:tcPr>
            <w:tcW w:w="1078" w:type="dxa"/>
            <w:vAlign w:val="center"/>
          </w:tcPr>
          <w:p>
            <w:pPr>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型号</w:t>
            </w:r>
            <w:r>
              <w:rPr>
                <w:rFonts w:ascii="宋体" w:hAnsi="宋体" w:eastAsia="宋体"/>
                <w:color w:val="auto"/>
                <w:sz w:val="21"/>
                <w:szCs w:val="21"/>
              </w:rPr>
              <w:t>/</w:t>
            </w:r>
            <w:r>
              <w:rPr>
                <w:rFonts w:hint="eastAsia" w:ascii="宋体" w:hAnsi="宋体" w:eastAsia="宋体"/>
                <w:color w:val="auto"/>
                <w:sz w:val="21"/>
                <w:szCs w:val="21"/>
              </w:rPr>
              <w:t>规格</w:t>
            </w:r>
          </w:p>
        </w:tc>
        <w:tc>
          <w:tcPr>
            <w:tcW w:w="1227" w:type="dxa"/>
            <w:vAlign w:val="center"/>
          </w:tcPr>
          <w:p>
            <w:pPr>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储备量</w:t>
            </w:r>
          </w:p>
        </w:tc>
        <w:tc>
          <w:tcPr>
            <w:tcW w:w="1107" w:type="dxa"/>
            <w:vAlign w:val="center"/>
          </w:tcPr>
          <w:p>
            <w:pPr>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报废日期</w:t>
            </w:r>
          </w:p>
        </w:tc>
        <w:tc>
          <w:tcPr>
            <w:tcW w:w="1107" w:type="dxa"/>
            <w:gridSpan w:val="2"/>
            <w:vAlign w:val="center"/>
          </w:tcPr>
          <w:p>
            <w:pPr>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主要功能</w:t>
            </w:r>
          </w:p>
        </w:tc>
        <w:tc>
          <w:tcPr>
            <w:tcW w:w="1107" w:type="dxa"/>
            <w:vAlign w:val="center"/>
          </w:tcPr>
          <w:p>
            <w:pPr>
              <w:adjustRightInd w:val="0"/>
              <w:snapToGrid w:val="0"/>
              <w:jc w:val="center"/>
              <w:rPr>
                <w:rFonts w:hint="eastAsia"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6" w:hRule="exact"/>
        </w:trPr>
        <w:tc>
          <w:tcPr>
            <w:tcW w:w="1105" w:type="dxa"/>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1</w:t>
            </w:r>
          </w:p>
        </w:tc>
        <w:tc>
          <w:tcPr>
            <w:tcW w:w="1168" w:type="dxa"/>
            <w:vAlign w:val="center"/>
          </w:tcPr>
          <w:p>
            <w:pPr>
              <w:tabs>
                <w:tab w:val="left" w:pos="3000"/>
              </w:tabs>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 xml:space="preserve">消防栓 </w:t>
            </w:r>
          </w:p>
        </w:tc>
        <w:tc>
          <w:tcPr>
            <w:tcW w:w="955"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widowControl/>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污染源控制</w:t>
            </w:r>
          </w:p>
        </w:tc>
        <w:tc>
          <w:tcPr>
            <w:tcW w:w="1107"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罐区、车间、仓库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2</w:t>
            </w:r>
          </w:p>
        </w:tc>
        <w:tc>
          <w:tcPr>
            <w:tcW w:w="1168" w:type="dxa"/>
            <w:vAlign w:val="center"/>
          </w:tcPr>
          <w:p>
            <w:pPr>
              <w:tabs>
                <w:tab w:val="left" w:pos="3000"/>
              </w:tabs>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eastAsia="zh-CN"/>
              </w:rPr>
              <w:t>灭火器</w:t>
            </w:r>
          </w:p>
        </w:tc>
        <w:tc>
          <w:tcPr>
            <w:tcW w:w="955"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widowControl/>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污染源控制</w:t>
            </w:r>
          </w:p>
        </w:tc>
        <w:tc>
          <w:tcPr>
            <w:tcW w:w="1107"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罐区、车间、仓库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3</w:t>
            </w:r>
          </w:p>
        </w:tc>
        <w:tc>
          <w:tcPr>
            <w:tcW w:w="1168" w:type="dxa"/>
            <w:vAlign w:val="center"/>
          </w:tcPr>
          <w:p>
            <w:pPr>
              <w:tabs>
                <w:tab w:val="left" w:pos="3000"/>
              </w:tabs>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消防水池</w:t>
            </w:r>
          </w:p>
        </w:tc>
        <w:tc>
          <w:tcPr>
            <w:tcW w:w="95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widowControl/>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污染源控制</w:t>
            </w:r>
          </w:p>
        </w:tc>
        <w:tc>
          <w:tcPr>
            <w:tcW w:w="1107"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20" w:hRule="exact"/>
        </w:trPr>
        <w:tc>
          <w:tcPr>
            <w:tcW w:w="1105" w:type="dxa"/>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4</w:t>
            </w:r>
          </w:p>
        </w:tc>
        <w:tc>
          <w:tcPr>
            <w:tcW w:w="1168" w:type="dxa"/>
            <w:vAlign w:val="center"/>
          </w:tcPr>
          <w:p>
            <w:pPr>
              <w:tabs>
                <w:tab w:val="left" w:pos="3000"/>
              </w:tabs>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消防泵房</w:t>
            </w:r>
          </w:p>
        </w:tc>
        <w:tc>
          <w:tcPr>
            <w:tcW w:w="955"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widowControl/>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污染源控制</w:t>
            </w:r>
          </w:p>
        </w:tc>
        <w:tc>
          <w:tcPr>
            <w:tcW w:w="1107"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5</w:t>
            </w:r>
          </w:p>
        </w:tc>
        <w:tc>
          <w:tcPr>
            <w:tcW w:w="1168" w:type="dxa"/>
            <w:vAlign w:val="center"/>
          </w:tcPr>
          <w:p>
            <w:pPr>
              <w:widowControl/>
              <w:adjustRightInd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可燃气体报警仪</w:t>
            </w:r>
          </w:p>
        </w:tc>
        <w:tc>
          <w:tcPr>
            <w:tcW w:w="955"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北京朗睿科技有限公司</w:t>
            </w:r>
          </w:p>
        </w:tc>
        <w:tc>
          <w:tcPr>
            <w:tcW w:w="1078"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JTQ-CQ-LR6002型</w:t>
            </w:r>
          </w:p>
        </w:tc>
        <w:tc>
          <w:tcPr>
            <w:tcW w:w="1227"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3</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widowControl/>
              <w:jc w:val="center"/>
              <w:textAlignment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adjustRightIn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罐组二</w:t>
            </w:r>
          </w:p>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装卸区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6</w:t>
            </w:r>
          </w:p>
        </w:tc>
        <w:tc>
          <w:tcPr>
            <w:tcW w:w="1168" w:type="dxa"/>
            <w:vAlign w:val="center"/>
          </w:tcPr>
          <w:p>
            <w:pPr>
              <w:widowControl/>
              <w:adjustRightInd w:val="0"/>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可燃气体报警仪</w:t>
            </w:r>
          </w:p>
        </w:tc>
        <w:tc>
          <w:tcPr>
            <w:tcW w:w="955"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北京朗睿科技有限公司</w:t>
            </w:r>
          </w:p>
        </w:tc>
        <w:tc>
          <w:tcPr>
            <w:tcW w:w="1078" w:type="dxa"/>
            <w:vAlign w:val="center"/>
          </w:tcPr>
          <w:p>
            <w:pPr>
              <w:widowControl/>
              <w:adjustRightInd w:val="0"/>
              <w:jc w:val="center"/>
              <w:rPr>
                <w:rFonts w:hint="eastAsia" w:ascii="Times New Roman" w:hAnsi="Times New Roman" w:eastAsia="仿宋" w:cs="Times New Roman"/>
                <w:color w:val="auto"/>
                <w:kern w:val="2"/>
                <w:sz w:val="21"/>
                <w:szCs w:val="21"/>
                <w:lang w:val="en-US" w:eastAsia="zh-CN"/>
              </w:rPr>
            </w:pPr>
            <w:r>
              <w:rPr>
                <w:rFonts w:hint="default" w:ascii="Times New Roman" w:hAnsi="Times New Roman" w:eastAsia="仿宋" w:cs="Times New Roman"/>
                <w:color w:val="auto"/>
                <w:kern w:val="0"/>
                <w:sz w:val="21"/>
                <w:szCs w:val="21"/>
                <w:lang w:val="en-US" w:eastAsia="zh-CN"/>
              </w:rPr>
              <w:t>JTQ-CQ-LR6002型</w:t>
            </w:r>
          </w:p>
        </w:tc>
        <w:tc>
          <w:tcPr>
            <w:tcW w:w="1227"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8</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1#车间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7</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风向标</w:t>
            </w:r>
          </w:p>
        </w:tc>
        <w:tc>
          <w:tcPr>
            <w:tcW w:w="955"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w:t>
            </w:r>
          </w:p>
        </w:tc>
        <w:tc>
          <w:tcPr>
            <w:tcW w:w="1107"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生产车间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widowControl/>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kern w:val="0"/>
                <w:sz w:val="21"/>
                <w:szCs w:val="21"/>
                <w:u w:val="none"/>
                <w:lang w:val="en-US" w:eastAsia="zh-CN"/>
              </w:rPr>
              <w:t>8</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 xml:space="preserve">应急灯 </w:t>
            </w:r>
          </w:p>
        </w:tc>
        <w:tc>
          <w:tcPr>
            <w:tcW w:w="955"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w:t>
            </w:r>
          </w:p>
        </w:tc>
        <w:tc>
          <w:tcPr>
            <w:tcW w:w="1107"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生产车间、储罐区、仓库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9</w:t>
            </w:r>
          </w:p>
        </w:tc>
        <w:tc>
          <w:tcPr>
            <w:tcW w:w="1168" w:type="dxa"/>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消防桶</w:t>
            </w:r>
          </w:p>
        </w:tc>
        <w:tc>
          <w:tcPr>
            <w:tcW w:w="955"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ZHANGJON/正匠</w:t>
            </w:r>
          </w:p>
        </w:tc>
        <w:tc>
          <w:tcPr>
            <w:tcW w:w="1078"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DWWXXFZ11</w:t>
            </w:r>
          </w:p>
        </w:tc>
        <w:tc>
          <w:tcPr>
            <w:tcW w:w="122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4</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vAlign w:val="center"/>
          </w:tcPr>
          <w:p>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罐组一</w:t>
            </w:r>
          </w:p>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lang w:val="en-US" w:eastAsia="zh-CN"/>
              </w:rPr>
              <w:t>二</w:t>
            </w:r>
            <w:r>
              <w:rPr>
                <w:rFonts w:hint="default" w:ascii="Times New Roman" w:hAnsi="Times New Roman" w:eastAsia="仿宋" w:cs="Times New Roman"/>
                <w:color w:val="auto"/>
                <w:kern w:val="0"/>
                <w:sz w:val="21"/>
                <w:szCs w:val="21"/>
                <w:lang w:eastAsia="zh-CN"/>
              </w:rPr>
              <w:t>附近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10</w:t>
            </w:r>
          </w:p>
        </w:tc>
        <w:tc>
          <w:tcPr>
            <w:tcW w:w="1168" w:type="dxa"/>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正压式空气呼吸器</w:t>
            </w:r>
          </w:p>
        </w:tc>
        <w:tc>
          <w:tcPr>
            <w:tcW w:w="955"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浙江恒泰安全设备有限公司</w:t>
            </w:r>
          </w:p>
        </w:tc>
        <w:tc>
          <w:tcPr>
            <w:tcW w:w="1078"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RHZKF6.8/30型</w:t>
            </w:r>
          </w:p>
        </w:tc>
        <w:tc>
          <w:tcPr>
            <w:tcW w:w="122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11</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 xml:space="preserve">防静电工作服 </w:t>
            </w:r>
          </w:p>
        </w:tc>
        <w:tc>
          <w:tcPr>
            <w:tcW w:w="955"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12</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防酸工作服</w:t>
            </w:r>
          </w:p>
        </w:tc>
        <w:tc>
          <w:tcPr>
            <w:tcW w:w="955"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13</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color w:val="auto"/>
                <w:sz w:val="21"/>
                <w:szCs w:val="21"/>
              </w:rPr>
              <w:t>耐酸碱胶靴</w:t>
            </w:r>
          </w:p>
        </w:tc>
        <w:tc>
          <w:tcPr>
            <w:tcW w:w="955"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14</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耐酸碱手套</w:t>
            </w:r>
          </w:p>
        </w:tc>
        <w:tc>
          <w:tcPr>
            <w:tcW w:w="955"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15</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化学防护服</w:t>
            </w:r>
          </w:p>
        </w:tc>
        <w:tc>
          <w:tcPr>
            <w:tcW w:w="955"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雷克兰（北京）安全防护用具有限公司</w:t>
            </w:r>
          </w:p>
        </w:tc>
        <w:tc>
          <w:tcPr>
            <w:tcW w:w="1078"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限次使用型</w:t>
            </w:r>
          </w:p>
        </w:tc>
        <w:tc>
          <w:tcPr>
            <w:tcW w:w="122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16</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警戒带</w:t>
            </w:r>
          </w:p>
        </w:tc>
        <w:tc>
          <w:tcPr>
            <w:tcW w:w="955"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200米</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17</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防爆手电</w:t>
            </w:r>
          </w:p>
        </w:tc>
        <w:tc>
          <w:tcPr>
            <w:tcW w:w="955"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eastAsia="zh-CN"/>
              </w:rPr>
              <w:t>华升黑豹</w:t>
            </w:r>
          </w:p>
        </w:tc>
        <w:tc>
          <w:tcPr>
            <w:tcW w:w="1078"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WSL-721型</w:t>
            </w:r>
          </w:p>
        </w:tc>
        <w:tc>
          <w:tcPr>
            <w:tcW w:w="122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b w:val="0"/>
                <w:i w:val="0"/>
                <w:color w:val="auto"/>
                <w:kern w:val="0"/>
                <w:sz w:val="21"/>
                <w:szCs w:val="21"/>
                <w:lang w:val="en-US" w:eastAsia="zh-CN"/>
              </w:rPr>
              <w:t>应急器材柜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18</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安全带</w:t>
            </w:r>
          </w:p>
        </w:tc>
        <w:tc>
          <w:tcPr>
            <w:tcW w:w="955"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jc w:val="center"/>
              <w:rPr>
                <w:rFonts w:hint="eastAsia"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应急器材柜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19</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防火服</w:t>
            </w:r>
          </w:p>
        </w:tc>
        <w:tc>
          <w:tcPr>
            <w:tcW w:w="955"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jc w:val="center"/>
              <w:rPr>
                <w:rFonts w:hint="eastAsia"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应急器材柜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20</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千斤顶</w:t>
            </w:r>
          </w:p>
        </w:tc>
        <w:tc>
          <w:tcPr>
            <w:tcW w:w="955"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污染源控制</w:t>
            </w:r>
          </w:p>
        </w:tc>
        <w:tc>
          <w:tcPr>
            <w:tcW w:w="1107" w:type="dxa"/>
            <w:vAlign w:val="center"/>
          </w:tcPr>
          <w:p>
            <w:pPr>
              <w:widowControl/>
              <w:jc w:val="center"/>
              <w:rPr>
                <w:rFonts w:hint="eastAsia"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应急器材柜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21</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消防斧</w:t>
            </w:r>
          </w:p>
        </w:tc>
        <w:tc>
          <w:tcPr>
            <w:tcW w:w="955"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jc w:val="center"/>
              <w:rPr>
                <w:rFonts w:hint="eastAsia"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应急器材柜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22</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堵漏工具（堵漏器、补漏卡子、密封胶带、圆锥楔、扁楔）</w:t>
            </w:r>
          </w:p>
        </w:tc>
        <w:tc>
          <w:tcPr>
            <w:tcW w:w="955"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污染源切断</w:t>
            </w:r>
          </w:p>
        </w:tc>
        <w:tc>
          <w:tcPr>
            <w:tcW w:w="1107" w:type="dxa"/>
            <w:vAlign w:val="center"/>
          </w:tcPr>
          <w:p>
            <w:pPr>
              <w:widowControl/>
              <w:jc w:val="center"/>
              <w:rPr>
                <w:rFonts w:hint="eastAsia"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应急器材柜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23</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Cs/>
                <w:color w:val="auto"/>
                <w:kern w:val="0"/>
                <w:sz w:val="21"/>
                <w:szCs w:val="21"/>
                <w:lang w:eastAsia="zh-CN"/>
              </w:rPr>
              <w:t>防爆</w:t>
            </w:r>
            <w:r>
              <w:rPr>
                <w:rFonts w:hint="default" w:ascii="Times New Roman" w:hAnsi="Times New Roman" w:eastAsia="仿宋" w:cs="Times New Roman"/>
                <w:bCs/>
                <w:color w:val="auto"/>
                <w:kern w:val="0"/>
                <w:sz w:val="21"/>
                <w:szCs w:val="21"/>
              </w:rPr>
              <w:t>工具</w:t>
            </w:r>
            <w:r>
              <w:rPr>
                <w:rFonts w:hint="default" w:ascii="Times New Roman" w:hAnsi="Times New Roman" w:eastAsia="仿宋" w:cs="Times New Roman"/>
                <w:bCs/>
                <w:color w:val="auto"/>
                <w:kern w:val="0"/>
                <w:sz w:val="21"/>
                <w:szCs w:val="21"/>
                <w:lang w:eastAsia="zh-CN"/>
              </w:rPr>
              <w:t>（套装）</w:t>
            </w:r>
          </w:p>
        </w:tc>
        <w:tc>
          <w:tcPr>
            <w:tcW w:w="955" w:type="dxa"/>
            <w:vAlign w:val="center"/>
          </w:tcPr>
          <w:p>
            <w:pPr>
              <w:widowControl/>
              <w:adjustRightInd w:val="0"/>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石家庄市金盾防爆工具有限公司</w:t>
            </w:r>
          </w:p>
        </w:tc>
        <w:tc>
          <w:tcPr>
            <w:tcW w:w="1078" w:type="dxa"/>
            <w:vAlign w:val="center"/>
          </w:tcPr>
          <w:p>
            <w:pPr>
              <w:widowControl/>
              <w:adjustRightInd w:val="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活动扳手10寸/钳子通用</w:t>
            </w:r>
          </w:p>
        </w:tc>
        <w:tc>
          <w:tcPr>
            <w:tcW w:w="122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jc w:val="center"/>
              <w:rPr>
                <w:rFonts w:hint="eastAsia"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应急器材柜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24</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绝缘工具（绝缘手套、绝缘靴、绝缘杆）</w:t>
            </w:r>
          </w:p>
        </w:tc>
        <w:tc>
          <w:tcPr>
            <w:tcW w:w="955"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jc w:val="center"/>
              <w:rPr>
                <w:rFonts w:hint="eastAsia"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配电室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25</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应急药箱</w:t>
            </w:r>
          </w:p>
        </w:tc>
        <w:tc>
          <w:tcPr>
            <w:tcW w:w="955"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jc w:val="center"/>
              <w:rPr>
                <w:rFonts w:hint="eastAsia"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办公室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26</w:t>
            </w:r>
          </w:p>
        </w:tc>
        <w:tc>
          <w:tcPr>
            <w:tcW w:w="1168" w:type="dxa"/>
            <w:vAlign w:val="center"/>
          </w:tcPr>
          <w:p>
            <w:pPr>
              <w:widowControl/>
              <w:jc w:val="center"/>
              <w:rPr>
                <w:rFonts w:hint="default"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color w:val="auto"/>
                <w:sz w:val="21"/>
                <w:szCs w:val="21"/>
              </w:rPr>
              <w:t>担架</w:t>
            </w:r>
          </w:p>
        </w:tc>
        <w:tc>
          <w:tcPr>
            <w:tcW w:w="955"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jc w:val="center"/>
              <w:rPr>
                <w:rFonts w:hint="eastAsia"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办公室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27</w:t>
            </w:r>
          </w:p>
        </w:tc>
        <w:tc>
          <w:tcPr>
            <w:tcW w:w="1168" w:type="dxa"/>
            <w:vAlign w:val="center"/>
          </w:tcPr>
          <w:p>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氧气枕</w:t>
            </w:r>
          </w:p>
        </w:tc>
        <w:tc>
          <w:tcPr>
            <w:tcW w:w="955"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2</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jc w:val="center"/>
              <w:rPr>
                <w:rFonts w:hint="eastAsia"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办公室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28</w:t>
            </w:r>
          </w:p>
        </w:tc>
        <w:tc>
          <w:tcPr>
            <w:tcW w:w="1168" w:type="dxa"/>
            <w:vAlign w:val="center"/>
          </w:tcPr>
          <w:p>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对讲机</w:t>
            </w:r>
          </w:p>
        </w:tc>
        <w:tc>
          <w:tcPr>
            <w:tcW w:w="955"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4</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widowControl/>
              <w:adjustRightInd w:val="0"/>
              <w:snapToGri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应急通信</w:t>
            </w:r>
          </w:p>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和指挥</w:t>
            </w:r>
          </w:p>
        </w:tc>
        <w:tc>
          <w:tcPr>
            <w:tcW w:w="1107" w:type="dxa"/>
            <w:vAlign w:val="center"/>
          </w:tcPr>
          <w:p>
            <w:pPr>
              <w:widowControl/>
              <w:jc w:val="center"/>
              <w:rPr>
                <w:rFonts w:hint="eastAsia" w:ascii="Times New Roman" w:hAnsi="Times New Roman" w:eastAsia="仿宋" w:cs="Times New Roman"/>
                <w:b w:val="0"/>
                <w:i w:val="0"/>
                <w:color w:val="auto"/>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05" w:type="dxa"/>
            <w:vAlign w:val="center"/>
          </w:tcPr>
          <w:p>
            <w:pPr>
              <w:jc w:val="center"/>
              <w:rPr>
                <w:rFonts w:hint="default"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29</w:t>
            </w:r>
          </w:p>
        </w:tc>
        <w:tc>
          <w:tcPr>
            <w:tcW w:w="1168" w:type="dxa"/>
            <w:vAlign w:val="center"/>
          </w:tcPr>
          <w:p>
            <w:pPr>
              <w:widowControl/>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救生绳</w:t>
            </w:r>
          </w:p>
        </w:tc>
        <w:tc>
          <w:tcPr>
            <w:tcW w:w="955"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078" w:type="dxa"/>
            <w:vAlign w:val="center"/>
          </w:tcPr>
          <w:p>
            <w:pPr>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227" w:type="dxa"/>
            <w:vAlign w:val="center"/>
          </w:tcPr>
          <w:p>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1</w:t>
            </w:r>
          </w:p>
        </w:tc>
        <w:tc>
          <w:tcPr>
            <w:tcW w:w="1107" w:type="dxa"/>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eastAsia" w:ascii="Times New Roman" w:hAnsi="Times New Roman" w:eastAsia="仿宋" w:cs="Times New Roman"/>
                <w:i w:val="0"/>
                <w:color w:val="auto"/>
                <w:sz w:val="21"/>
                <w:szCs w:val="21"/>
                <w:u w:val="none"/>
                <w:lang w:val="en-US" w:eastAsia="zh-CN"/>
              </w:rPr>
              <w:t>/</w:t>
            </w:r>
          </w:p>
        </w:tc>
        <w:tc>
          <w:tcPr>
            <w:tcW w:w="1107" w:type="dxa"/>
            <w:gridSpan w:val="2"/>
            <w:vAlign w:val="center"/>
          </w:tcPr>
          <w:p>
            <w:pPr>
              <w:jc w:val="center"/>
              <w:rPr>
                <w:rFonts w:hint="eastAsia"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color w:val="auto"/>
                <w:kern w:val="0"/>
                <w:sz w:val="21"/>
                <w:szCs w:val="21"/>
              </w:rPr>
              <w:t>安全防护</w:t>
            </w:r>
          </w:p>
        </w:tc>
        <w:tc>
          <w:tcPr>
            <w:tcW w:w="1107" w:type="dxa"/>
            <w:vAlign w:val="center"/>
          </w:tcPr>
          <w:p>
            <w:pPr>
              <w:widowControl/>
              <w:jc w:val="center"/>
              <w:rPr>
                <w:rFonts w:hint="eastAsia" w:ascii="Times New Roman" w:hAnsi="Times New Roman" w:eastAsia="仿宋" w:cs="Times New Roman"/>
                <w:b w:val="0"/>
                <w:i w:val="0"/>
                <w:color w:val="auto"/>
                <w:kern w:val="0"/>
                <w:sz w:val="21"/>
                <w:szCs w:val="21"/>
                <w:lang w:val="en-US" w:eastAsia="zh-CN"/>
              </w:rPr>
            </w:pPr>
            <w:r>
              <w:rPr>
                <w:rFonts w:hint="default" w:ascii="Times New Roman" w:hAnsi="Times New Roman" w:eastAsia="仿宋" w:cs="Times New Roman"/>
                <w:b w:val="0"/>
                <w:i w:val="0"/>
                <w:color w:val="auto"/>
                <w:kern w:val="0"/>
                <w:sz w:val="21"/>
                <w:szCs w:val="21"/>
                <w:lang w:val="en-US" w:eastAsia="zh-CN"/>
              </w:rPr>
              <w:t>办公室</w:t>
            </w:r>
          </w:p>
        </w:tc>
      </w:tr>
    </w:tbl>
    <w:p>
      <w:pPr>
        <w:widowControl/>
        <w:jc w:val="left"/>
        <w:rPr>
          <w:rFonts w:ascii="仿宋" w:hAnsi="仿宋" w:eastAsia="仿宋" w:cs="仿宋"/>
          <w:color w:val="auto"/>
          <w:kern w:val="0"/>
          <w:sz w:val="28"/>
          <w:szCs w:val="28"/>
          <w:lang w:val="en-US" w:eastAsia="zh-CN"/>
        </w:rPr>
      </w:pPr>
    </w:p>
    <w:p>
      <w:pPr>
        <w:pStyle w:val="2"/>
        <w:rPr>
          <w:rFonts w:ascii="仿宋" w:hAnsi="仿宋" w:eastAsia="仿宋" w:cs="仿宋"/>
          <w:color w:val="auto"/>
          <w:kern w:val="0"/>
          <w:sz w:val="28"/>
          <w:szCs w:val="28"/>
          <w:lang w:val="en-US" w:eastAsia="zh-CN"/>
        </w:rPr>
      </w:pPr>
    </w:p>
    <w:p>
      <w:pPr>
        <w:widowControl/>
        <w:jc w:val="left"/>
        <w:rPr>
          <w:rFonts w:hint="default" w:ascii="Times New Roman" w:hAnsi="Times New Roman" w:eastAsia="仿宋" w:cs="Times New Roman"/>
          <w:color w:val="auto"/>
          <w:sz w:val="24"/>
          <w:szCs w:val="24"/>
        </w:rPr>
      </w:pPr>
      <w:r>
        <w:rPr>
          <w:rFonts w:hint="default" w:ascii="Times New Roman" w:hAnsi="Times New Roman" w:eastAsia="仿宋" w:cs="Times New Roman"/>
          <w:b/>
          <w:bCs/>
          <w:color w:val="auto"/>
          <w:kern w:val="0"/>
          <w:sz w:val="28"/>
          <w:szCs w:val="28"/>
          <w:lang w:val="en-US" w:eastAsia="zh-CN"/>
        </w:rPr>
        <w:t xml:space="preserve">附件 5.5 </w:t>
      </w:r>
      <w:r>
        <w:rPr>
          <w:rFonts w:hint="default" w:ascii="Times New Roman" w:hAnsi="Times New Roman" w:eastAsia="仿宋" w:cs="Times New Roman"/>
          <w:b/>
          <w:bCs/>
          <w:color w:val="auto"/>
          <w:sz w:val="28"/>
          <w:szCs w:val="28"/>
          <w:lang w:val="en-US" w:eastAsia="zh-CN"/>
        </w:rPr>
        <w:t>江苏徐海环境监测有限公司</w:t>
      </w:r>
      <w:r>
        <w:rPr>
          <w:rFonts w:hint="default" w:ascii="Times New Roman" w:hAnsi="Times New Roman" w:eastAsia="仿宋" w:cs="Times New Roman"/>
          <w:b/>
          <w:bCs/>
          <w:color w:val="auto"/>
          <w:kern w:val="0"/>
          <w:sz w:val="28"/>
          <w:szCs w:val="28"/>
          <w:lang w:val="en-US" w:eastAsia="zh-CN"/>
        </w:rPr>
        <w:t>环境应急资源调查表</w:t>
      </w:r>
    </w:p>
    <w:tbl>
      <w:tblPr>
        <w:tblStyle w:val="21"/>
        <w:tblW w:w="8854" w:type="dxa"/>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1105"/>
        <w:gridCol w:w="1275"/>
        <w:gridCol w:w="939"/>
        <w:gridCol w:w="1107"/>
        <w:gridCol w:w="1107"/>
        <w:gridCol w:w="1107"/>
        <w:gridCol w:w="553"/>
        <w:gridCol w:w="554"/>
        <w:gridCol w:w="1107"/>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854" w:type="dxa"/>
            <w:gridSpan w:val="9"/>
            <w:vAlign w:val="center"/>
          </w:tcPr>
          <w:p>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重点联系单位基本信息</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05" w:type="dxa"/>
            <w:vAlign w:val="center"/>
          </w:tcPr>
          <w:p>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单位名称</w:t>
            </w:r>
          </w:p>
        </w:tc>
        <w:tc>
          <w:tcPr>
            <w:tcW w:w="7749" w:type="dxa"/>
            <w:gridSpan w:val="8"/>
            <w:vAlign w:val="center"/>
          </w:tcPr>
          <w:p>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lang w:val="en-US" w:eastAsia="zh-CN"/>
              </w:rPr>
              <w:t>江苏徐海环境监测有限公司</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05" w:type="dxa"/>
            <w:vAlign w:val="center"/>
          </w:tcPr>
          <w:p>
            <w:pPr>
              <w:adjustRightInd w:val="0"/>
              <w:snapToGrid w:val="0"/>
              <w:jc w:val="center"/>
              <w:rPr>
                <w:rFonts w:hint="default" w:ascii="Times New Roman" w:hAnsi="Times New Roman" w:eastAsia="仿宋" w:cs="Times New Roman"/>
                <w:b w:val="0"/>
                <w:bCs w:val="0"/>
                <w:color w:val="auto"/>
                <w:sz w:val="21"/>
                <w:szCs w:val="21"/>
              </w:rPr>
            </w:pPr>
            <w:r>
              <w:rPr>
                <w:rFonts w:hint="default" w:ascii="Times New Roman" w:hAnsi="Times New Roman" w:eastAsia="仿宋" w:cs="Times New Roman"/>
                <w:b w:val="0"/>
                <w:bCs w:val="0"/>
                <w:color w:val="auto"/>
                <w:sz w:val="21"/>
                <w:szCs w:val="21"/>
              </w:rPr>
              <w:t>物资库位置</w:t>
            </w:r>
          </w:p>
        </w:tc>
        <w:tc>
          <w:tcPr>
            <w:tcW w:w="5535" w:type="dxa"/>
            <w:gridSpan w:val="5"/>
            <w:vAlign w:val="center"/>
          </w:tcPr>
          <w:p>
            <w:pPr>
              <w:widowControl/>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库房</w:t>
            </w:r>
          </w:p>
        </w:tc>
        <w:tc>
          <w:tcPr>
            <w:tcW w:w="1107" w:type="dxa"/>
            <w:gridSpan w:val="2"/>
            <w:vAlign w:val="center"/>
          </w:tcPr>
          <w:p>
            <w:pPr>
              <w:adjustRightInd w:val="0"/>
              <w:snapToGrid w:val="0"/>
              <w:jc w:val="center"/>
              <w:rPr>
                <w:rFonts w:hint="default" w:ascii="Times New Roman" w:hAnsi="Times New Roman" w:eastAsia="仿宋" w:cs="Times New Roman"/>
                <w:b w:val="0"/>
                <w:bCs w:val="0"/>
                <w:color w:val="auto"/>
                <w:sz w:val="21"/>
                <w:szCs w:val="21"/>
              </w:rPr>
            </w:pPr>
            <w:r>
              <w:rPr>
                <w:rFonts w:hint="default" w:ascii="Times New Roman" w:hAnsi="Times New Roman" w:eastAsia="仿宋" w:cs="Times New Roman"/>
                <w:b w:val="0"/>
                <w:bCs w:val="0"/>
                <w:color w:val="auto"/>
                <w:sz w:val="21"/>
                <w:szCs w:val="21"/>
              </w:rPr>
              <w:t>经纬度</w:t>
            </w:r>
          </w:p>
        </w:tc>
        <w:tc>
          <w:tcPr>
            <w:tcW w:w="1107" w:type="dxa"/>
            <w:vAlign w:val="center"/>
          </w:tcPr>
          <w:p>
            <w:pPr>
              <w:adjustRightInd w:val="0"/>
              <w:snapToGrid w:val="0"/>
              <w:jc w:val="center"/>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E117°17′</w:t>
            </w:r>
          </w:p>
          <w:p>
            <w:pPr>
              <w:pStyle w:val="2"/>
              <w:jc w:val="center"/>
              <w:rPr>
                <w:rFonts w:hint="default" w:ascii="Times New Roman" w:hAnsi="Times New Roman" w:cs="Times New Roman"/>
                <w:b w:val="0"/>
                <w:bCs w:val="0"/>
                <w:color w:val="auto"/>
                <w:lang w:val="en-US" w:eastAsia="zh-CN"/>
              </w:rPr>
            </w:pPr>
            <w:r>
              <w:rPr>
                <w:rFonts w:hint="default" w:ascii="Times New Roman" w:hAnsi="Times New Roman" w:eastAsia="仿宋" w:cs="Times New Roman"/>
                <w:b w:val="0"/>
                <w:bCs w:val="0"/>
                <w:color w:val="auto"/>
                <w:sz w:val="21"/>
                <w:szCs w:val="21"/>
                <w:lang w:val="en-US" w:eastAsia="zh-CN"/>
              </w:rPr>
              <w:t>N34</w:t>
            </w:r>
            <w:r>
              <w:rPr>
                <w:rFonts w:hint="default" w:ascii="Times New Roman" w:hAnsi="Times New Roman" w:cs="Times New Roman"/>
                <w:b w:val="0"/>
                <w:bCs w:val="0"/>
                <w:color w:val="auto"/>
                <w:lang w:val="en-US" w:eastAsia="zh-CN"/>
              </w:rPr>
              <w:t>°16′</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05" w:type="dxa"/>
            <w:vMerge w:val="restart"/>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负责人</w:t>
            </w:r>
          </w:p>
        </w:tc>
        <w:tc>
          <w:tcPr>
            <w:tcW w:w="1275"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姓名</w:t>
            </w:r>
          </w:p>
        </w:tc>
        <w:tc>
          <w:tcPr>
            <w:tcW w:w="2046" w:type="dxa"/>
            <w:gridSpan w:val="2"/>
            <w:vAlign w:val="center"/>
          </w:tcPr>
          <w:p>
            <w:pPr>
              <w:adjustRightInd w:val="0"/>
              <w:snapToGrid w:val="0"/>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于雪峰</w:t>
            </w:r>
          </w:p>
        </w:tc>
        <w:tc>
          <w:tcPr>
            <w:tcW w:w="1107" w:type="dxa"/>
            <w:vMerge w:val="restart"/>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联系人</w:t>
            </w:r>
          </w:p>
        </w:tc>
        <w:tc>
          <w:tcPr>
            <w:tcW w:w="1660" w:type="dxa"/>
            <w:gridSpan w:val="2"/>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姓名</w:t>
            </w:r>
          </w:p>
        </w:tc>
        <w:tc>
          <w:tcPr>
            <w:tcW w:w="1661" w:type="dxa"/>
            <w:gridSpan w:val="2"/>
            <w:vAlign w:val="center"/>
          </w:tcPr>
          <w:p>
            <w:pPr>
              <w:adjustRightInd w:val="0"/>
              <w:snapToGrid w:val="0"/>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eastAsia="zh-CN"/>
              </w:rPr>
              <w:t>于雪峰</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05"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1275"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联系方式</w:t>
            </w:r>
          </w:p>
        </w:tc>
        <w:tc>
          <w:tcPr>
            <w:tcW w:w="2046" w:type="dxa"/>
            <w:gridSpan w:val="2"/>
            <w:vAlign w:val="center"/>
          </w:tcPr>
          <w:p>
            <w:pPr>
              <w:adjustRightInd w:val="0"/>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13775888007</w:t>
            </w:r>
          </w:p>
        </w:tc>
        <w:tc>
          <w:tcPr>
            <w:tcW w:w="1107" w:type="dxa"/>
            <w:vMerge w:val="continue"/>
            <w:vAlign w:val="center"/>
          </w:tcPr>
          <w:p>
            <w:pPr>
              <w:adjustRightInd w:val="0"/>
              <w:snapToGrid w:val="0"/>
              <w:spacing w:before="463"/>
              <w:jc w:val="center"/>
              <w:rPr>
                <w:rFonts w:hint="default" w:ascii="Times New Roman" w:hAnsi="Times New Roman" w:eastAsia="仿宋" w:cs="Times New Roman"/>
                <w:color w:val="auto"/>
                <w:sz w:val="21"/>
                <w:szCs w:val="21"/>
              </w:rPr>
            </w:pPr>
          </w:p>
        </w:tc>
        <w:tc>
          <w:tcPr>
            <w:tcW w:w="1660" w:type="dxa"/>
            <w:gridSpan w:val="2"/>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联系方式</w:t>
            </w:r>
          </w:p>
        </w:tc>
        <w:tc>
          <w:tcPr>
            <w:tcW w:w="1661" w:type="dxa"/>
            <w:gridSpan w:val="2"/>
            <w:vAlign w:val="center"/>
          </w:tcPr>
          <w:p>
            <w:pPr>
              <w:adjustRightInd w:val="0"/>
              <w:snapToGrid w:val="0"/>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13775888007</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854" w:type="dxa"/>
            <w:gridSpan w:val="9"/>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环境应急资源信息</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05"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1275"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名称</w:t>
            </w:r>
          </w:p>
        </w:tc>
        <w:tc>
          <w:tcPr>
            <w:tcW w:w="93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品牌</w:t>
            </w:r>
          </w:p>
        </w:tc>
        <w:tc>
          <w:tcPr>
            <w:tcW w:w="1107"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型号/规格</w:t>
            </w:r>
          </w:p>
        </w:tc>
        <w:tc>
          <w:tcPr>
            <w:tcW w:w="1107"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储备量</w:t>
            </w:r>
          </w:p>
        </w:tc>
        <w:tc>
          <w:tcPr>
            <w:tcW w:w="1107"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报废日期</w:t>
            </w:r>
          </w:p>
        </w:tc>
        <w:tc>
          <w:tcPr>
            <w:tcW w:w="1107" w:type="dxa"/>
            <w:gridSpan w:val="2"/>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主要功能</w:t>
            </w:r>
          </w:p>
        </w:tc>
        <w:tc>
          <w:tcPr>
            <w:tcW w:w="1107"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备注</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05" w:type="dxa"/>
            <w:vAlign w:val="center"/>
          </w:tcPr>
          <w:p>
            <w:pPr>
              <w:widowControl/>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color w:val="auto"/>
                <w:kern w:val="0"/>
                <w:sz w:val="20"/>
                <w:szCs w:val="20"/>
                <w:u w:val="none"/>
                <w:lang w:val="en-US" w:eastAsia="zh-CN"/>
              </w:rPr>
              <w:t>1</w:t>
            </w:r>
          </w:p>
        </w:tc>
        <w:tc>
          <w:tcPr>
            <w:tcW w:w="1275" w:type="dxa"/>
            <w:vAlign w:val="center"/>
          </w:tcPr>
          <w:p>
            <w:pPr>
              <w:widowControl/>
              <w:jc w:val="center"/>
              <w:rPr>
                <w:rFonts w:hint="eastAsia"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1"/>
                <w:szCs w:val="21"/>
                <w:lang w:eastAsia="zh-CN"/>
              </w:rPr>
              <w:t>便携式气象五参数测定仪</w:t>
            </w:r>
          </w:p>
        </w:tc>
        <w:tc>
          <w:tcPr>
            <w:tcW w:w="939"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107" w:type="dxa"/>
            <w:vAlign w:val="center"/>
          </w:tcPr>
          <w:p>
            <w:pPr>
              <w:adjustRightInd w:val="0"/>
              <w:snapToGrid w:val="0"/>
              <w:jc w:val="center"/>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4500Pok Weather</w:t>
            </w:r>
          </w:p>
          <w:p>
            <w:pPr>
              <w:pStyle w:val="2"/>
              <w:jc w:val="center"/>
              <w:rPr>
                <w:rFonts w:hint="default"/>
                <w:color w:val="auto"/>
                <w:lang w:val="en-US" w:eastAsia="zh-CN"/>
              </w:rPr>
            </w:pPr>
            <w:r>
              <w:rPr>
                <w:rFonts w:hint="default" w:ascii="Times New Roman" w:hAnsi="Times New Roman" w:eastAsia="仿宋" w:cs="Times New Roman"/>
                <w:b w:val="0"/>
                <w:bCs w:val="0"/>
                <w:color w:val="auto"/>
                <w:sz w:val="21"/>
                <w:szCs w:val="21"/>
                <w:lang w:val="en-US" w:eastAsia="zh-CN"/>
              </w:rPr>
              <w:t>Tracker</w:t>
            </w:r>
          </w:p>
        </w:tc>
        <w:tc>
          <w:tcPr>
            <w:tcW w:w="1107"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w:t>
            </w:r>
          </w:p>
        </w:tc>
        <w:tc>
          <w:tcPr>
            <w:tcW w:w="1107"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107" w:type="dxa"/>
            <w:gridSpan w:val="2"/>
            <w:vMerge w:val="restart"/>
            <w:vAlign w:val="center"/>
          </w:tcPr>
          <w:p>
            <w:pPr>
              <w:adjustRightInd w:val="0"/>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环境监测</w:t>
            </w:r>
          </w:p>
        </w:tc>
        <w:tc>
          <w:tcPr>
            <w:tcW w:w="1107" w:type="dxa"/>
            <w:vAlign w:val="center"/>
          </w:tcPr>
          <w:p>
            <w:pPr>
              <w:adjustRightInd w:val="0"/>
              <w:snapToGrid w:val="0"/>
              <w:jc w:val="center"/>
              <w:rPr>
                <w:rFonts w:hint="default" w:ascii="Times New Roman" w:hAnsi="Times New Roman" w:eastAsia="仿宋"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05" w:type="dxa"/>
            <w:vAlign w:val="center"/>
          </w:tcPr>
          <w:p>
            <w:pPr>
              <w:widowControl/>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color w:val="auto"/>
                <w:kern w:val="0"/>
                <w:sz w:val="20"/>
                <w:szCs w:val="20"/>
                <w:u w:val="none"/>
                <w:lang w:val="en-US" w:eastAsia="zh-CN"/>
              </w:rPr>
              <w:t>2</w:t>
            </w:r>
          </w:p>
        </w:tc>
        <w:tc>
          <w:tcPr>
            <w:tcW w:w="1275" w:type="dxa"/>
            <w:vAlign w:val="center"/>
          </w:tcPr>
          <w:p>
            <w:pPr>
              <w:widowControl/>
              <w:jc w:val="center"/>
              <w:rPr>
                <w:rFonts w:hint="default" w:ascii="Times New Roman" w:hAnsi="Times New Roman" w:eastAsia="仿宋" w:cs="Times New Roman"/>
                <w:color w:val="auto"/>
                <w:sz w:val="24"/>
                <w:szCs w:val="24"/>
              </w:rPr>
            </w:pPr>
            <w:r>
              <w:rPr>
                <w:rFonts w:hint="eastAsia" w:ascii="Times New Roman" w:hAnsi="Times New Roman" w:eastAsia="仿宋" w:cs="Times New Roman"/>
                <w:color w:val="auto"/>
                <w:sz w:val="21"/>
                <w:szCs w:val="21"/>
                <w:lang w:eastAsia="zh-CN"/>
              </w:rPr>
              <w:t>便携式个体采样器</w:t>
            </w:r>
          </w:p>
        </w:tc>
        <w:tc>
          <w:tcPr>
            <w:tcW w:w="939"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107" w:type="dxa"/>
            <w:vAlign w:val="center"/>
          </w:tcPr>
          <w:p>
            <w:pPr>
              <w:adjustRightInd w:val="0"/>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EM-300</w:t>
            </w:r>
          </w:p>
        </w:tc>
        <w:tc>
          <w:tcPr>
            <w:tcW w:w="1107"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w:t>
            </w:r>
          </w:p>
        </w:tc>
        <w:tc>
          <w:tcPr>
            <w:tcW w:w="1107"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107" w:type="dxa"/>
            <w:gridSpan w:val="2"/>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1107" w:type="dxa"/>
            <w:vAlign w:val="center"/>
          </w:tcPr>
          <w:p>
            <w:pPr>
              <w:adjustRightInd w:val="0"/>
              <w:snapToGrid w:val="0"/>
              <w:jc w:val="center"/>
              <w:rPr>
                <w:rFonts w:hint="default" w:ascii="Times New Roman" w:hAnsi="Times New Roman" w:eastAsia="仿宋"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05" w:type="dxa"/>
            <w:vAlign w:val="center"/>
          </w:tcPr>
          <w:p>
            <w:pPr>
              <w:widowControl/>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color w:val="auto"/>
                <w:kern w:val="0"/>
                <w:sz w:val="20"/>
                <w:szCs w:val="20"/>
                <w:u w:val="none"/>
                <w:lang w:val="en-US" w:eastAsia="zh-CN"/>
              </w:rPr>
              <w:t>3</w:t>
            </w:r>
          </w:p>
        </w:tc>
        <w:tc>
          <w:tcPr>
            <w:tcW w:w="1275" w:type="dxa"/>
            <w:vAlign w:val="center"/>
          </w:tcPr>
          <w:p>
            <w:pPr>
              <w:widowControl/>
              <w:jc w:val="center"/>
              <w:rPr>
                <w:rFonts w:hint="default" w:ascii="Times New Roman" w:hAnsi="Times New Roman" w:eastAsia="仿宋" w:cs="Times New Roman"/>
                <w:color w:val="auto"/>
                <w:sz w:val="24"/>
                <w:szCs w:val="24"/>
              </w:rPr>
            </w:pPr>
            <w:r>
              <w:rPr>
                <w:rFonts w:hint="eastAsia" w:ascii="Times New Roman" w:hAnsi="Times New Roman" w:eastAsia="仿宋" w:cs="Times New Roman"/>
                <w:color w:val="auto"/>
                <w:sz w:val="21"/>
                <w:szCs w:val="21"/>
                <w:lang w:eastAsia="zh-CN"/>
              </w:rPr>
              <w:t>便携式溶氧测量仪</w:t>
            </w:r>
          </w:p>
        </w:tc>
        <w:tc>
          <w:tcPr>
            <w:tcW w:w="939"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107" w:type="dxa"/>
            <w:vAlign w:val="center"/>
          </w:tcPr>
          <w:p>
            <w:pPr>
              <w:adjustRightInd w:val="0"/>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JPG-607</w:t>
            </w:r>
          </w:p>
        </w:tc>
        <w:tc>
          <w:tcPr>
            <w:tcW w:w="1107"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w:t>
            </w:r>
          </w:p>
        </w:tc>
        <w:tc>
          <w:tcPr>
            <w:tcW w:w="1107"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107" w:type="dxa"/>
            <w:gridSpan w:val="2"/>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1107" w:type="dxa"/>
            <w:vAlign w:val="center"/>
          </w:tcPr>
          <w:p>
            <w:pPr>
              <w:adjustRightInd w:val="0"/>
              <w:snapToGrid w:val="0"/>
              <w:jc w:val="center"/>
              <w:rPr>
                <w:rFonts w:hint="default" w:ascii="Times New Roman" w:hAnsi="Times New Roman" w:eastAsia="仿宋"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05" w:type="dxa"/>
            <w:vAlign w:val="center"/>
          </w:tcPr>
          <w:p>
            <w:pPr>
              <w:widowControl/>
              <w:jc w:val="center"/>
              <w:textAlignment w:val="center"/>
              <w:rPr>
                <w:rFonts w:hint="default" w:ascii="Times New Roman" w:hAnsi="Times New Roman" w:eastAsia="仿宋" w:cs="Times New Roman"/>
                <w:i w:val="0"/>
                <w:color w:val="auto"/>
                <w:kern w:val="0"/>
                <w:sz w:val="20"/>
                <w:szCs w:val="20"/>
                <w:u w:val="none"/>
                <w:lang w:val="en-US" w:eastAsia="zh-CN"/>
              </w:rPr>
            </w:pPr>
            <w:r>
              <w:rPr>
                <w:rFonts w:hint="eastAsia" w:ascii="Times New Roman" w:hAnsi="Times New Roman" w:eastAsia="仿宋" w:cs="Times New Roman"/>
                <w:i w:val="0"/>
                <w:color w:val="auto"/>
                <w:kern w:val="0"/>
                <w:sz w:val="20"/>
                <w:szCs w:val="20"/>
                <w:u w:val="none"/>
                <w:lang w:val="en-US" w:eastAsia="zh-CN"/>
              </w:rPr>
              <w:t>4</w:t>
            </w:r>
          </w:p>
        </w:tc>
        <w:tc>
          <w:tcPr>
            <w:tcW w:w="1275" w:type="dxa"/>
            <w:vAlign w:val="center"/>
          </w:tcPr>
          <w:p>
            <w:pPr>
              <w:widowControl/>
              <w:jc w:val="center"/>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sz w:val="21"/>
                <w:szCs w:val="21"/>
                <w:lang w:eastAsia="zh-CN"/>
              </w:rPr>
              <w:t>便携式综合校准仪</w:t>
            </w:r>
          </w:p>
        </w:tc>
        <w:tc>
          <w:tcPr>
            <w:tcW w:w="939"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107" w:type="dxa"/>
            <w:vAlign w:val="center"/>
          </w:tcPr>
          <w:p>
            <w:pPr>
              <w:adjustRightInd w:val="0"/>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GH-2030</w:t>
            </w:r>
          </w:p>
        </w:tc>
        <w:tc>
          <w:tcPr>
            <w:tcW w:w="1107"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w:t>
            </w:r>
          </w:p>
        </w:tc>
        <w:tc>
          <w:tcPr>
            <w:tcW w:w="1107"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107" w:type="dxa"/>
            <w:gridSpan w:val="2"/>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1107" w:type="dxa"/>
            <w:vAlign w:val="center"/>
          </w:tcPr>
          <w:p>
            <w:pPr>
              <w:adjustRightInd w:val="0"/>
              <w:snapToGrid w:val="0"/>
              <w:jc w:val="center"/>
              <w:rPr>
                <w:rFonts w:hint="default" w:ascii="Times New Roman" w:hAnsi="Times New Roman" w:eastAsia="仿宋"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05"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5</w:t>
            </w:r>
          </w:p>
        </w:tc>
        <w:tc>
          <w:tcPr>
            <w:tcW w:w="1275" w:type="dxa"/>
            <w:vAlign w:val="center"/>
          </w:tcPr>
          <w:p>
            <w:pPr>
              <w:adjustRightInd w:val="0"/>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便携式pH计</w:t>
            </w:r>
          </w:p>
        </w:tc>
        <w:tc>
          <w:tcPr>
            <w:tcW w:w="939"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107" w:type="dxa"/>
            <w:vAlign w:val="center"/>
          </w:tcPr>
          <w:p>
            <w:pPr>
              <w:adjustRightInd w:val="0"/>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PHB-260</w:t>
            </w:r>
          </w:p>
        </w:tc>
        <w:tc>
          <w:tcPr>
            <w:tcW w:w="1107"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5</w:t>
            </w:r>
          </w:p>
        </w:tc>
        <w:tc>
          <w:tcPr>
            <w:tcW w:w="1107"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107" w:type="dxa"/>
            <w:gridSpan w:val="2"/>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1107" w:type="dxa"/>
            <w:vAlign w:val="center"/>
          </w:tcPr>
          <w:p>
            <w:pPr>
              <w:adjustRightInd w:val="0"/>
              <w:snapToGrid w:val="0"/>
              <w:jc w:val="center"/>
              <w:rPr>
                <w:rFonts w:hint="default" w:ascii="Times New Roman" w:hAnsi="Times New Roman" w:eastAsia="仿宋"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05" w:type="dxa"/>
            <w:vAlign w:val="center"/>
          </w:tcPr>
          <w:p>
            <w:pPr>
              <w:adjustRightInd w:val="0"/>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w:t>
            </w:r>
          </w:p>
        </w:tc>
        <w:tc>
          <w:tcPr>
            <w:tcW w:w="1275" w:type="dxa"/>
            <w:vAlign w:val="center"/>
          </w:tcPr>
          <w:p>
            <w:pPr>
              <w:adjustRightInd w:val="0"/>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采样桶</w:t>
            </w:r>
          </w:p>
        </w:tc>
        <w:tc>
          <w:tcPr>
            <w:tcW w:w="939"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107"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107" w:type="dxa"/>
            <w:vAlign w:val="center"/>
          </w:tcPr>
          <w:p>
            <w:pPr>
              <w:adjustRightInd w:val="0"/>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10</w:t>
            </w:r>
          </w:p>
        </w:tc>
        <w:tc>
          <w:tcPr>
            <w:tcW w:w="1107"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107" w:type="dxa"/>
            <w:gridSpan w:val="2"/>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1107" w:type="dxa"/>
            <w:vAlign w:val="center"/>
          </w:tcPr>
          <w:p>
            <w:pPr>
              <w:adjustRightInd w:val="0"/>
              <w:snapToGrid w:val="0"/>
              <w:jc w:val="center"/>
              <w:rPr>
                <w:rFonts w:hint="default" w:ascii="Times New Roman" w:hAnsi="Times New Roman" w:eastAsia="仿宋"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05" w:type="dxa"/>
            <w:vAlign w:val="center"/>
          </w:tcPr>
          <w:p>
            <w:pPr>
              <w:adjustRightInd w:val="0"/>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7</w:t>
            </w:r>
          </w:p>
        </w:tc>
        <w:tc>
          <w:tcPr>
            <w:tcW w:w="1275" w:type="dxa"/>
            <w:vAlign w:val="center"/>
          </w:tcPr>
          <w:p>
            <w:pPr>
              <w:adjustRightInd w:val="0"/>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安全帽</w:t>
            </w:r>
          </w:p>
        </w:tc>
        <w:tc>
          <w:tcPr>
            <w:tcW w:w="939"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107"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107" w:type="dxa"/>
            <w:vAlign w:val="center"/>
          </w:tcPr>
          <w:p>
            <w:pPr>
              <w:adjustRightInd w:val="0"/>
              <w:snapToGrid w:val="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10</w:t>
            </w:r>
          </w:p>
        </w:tc>
        <w:tc>
          <w:tcPr>
            <w:tcW w:w="1107" w:type="dxa"/>
            <w:vAlign w:val="center"/>
          </w:tcPr>
          <w:p>
            <w:pPr>
              <w:adjustRightInd w:val="0"/>
              <w:snapToGrid w:val="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w:t>
            </w:r>
          </w:p>
        </w:tc>
        <w:tc>
          <w:tcPr>
            <w:tcW w:w="1107" w:type="dxa"/>
            <w:gridSpan w:val="2"/>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1107" w:type="dxa"/>
            <w:vAlign w:val="center"/>
          </w:tcPr>
          <w:p>
            <w:pPr>
              <w:adjustRightInd w:val="0"/>
              <w:snapToGrid w:val="0"/>
              <w:jc w:val="center"/>
              <w:rPr>
                <w:rFonts w:hint="default" w:ascii="Times New Roman" w:hAnsi="Times New Roman" w:eastAsia="仿宋" w:cs="Times New Roman"/>
                <w:color w:val="auto"/>
                <w:sz w:val="21"/>
                <w:szCs w:val="21"/>
              </w:rPr>
            </w:pPr>
          </w:p>
        </w:tc>
      </w:tr>
    </w:tbl>
    <w:p>
      <w:pPr>
        <w:widowControl/>
        <w:jc w:val="left"/>
        <w:rPr>
          <w:rFonts w:hint="eastAsia" w:ascii="Times New Roman" w:hAnsi="Times New Roman" w:eastAsia="仿宋" w:cs="Times New Roman"/>
          <w:b/>
          <w:bCs/>
          <w:color w:val="auto"/>
          <w:sz w:val="28"/>
          <w:szCs w:val="28"/>
          <w:lang w:val="en-US" w:eastAsia="zh-CN"/>
        </w:rPr>
      </w:pPr>
      <w:r>
        <w:rPr>
          <w:rFonts w:hint="eastAsia" w:ascii="Times New Roman" w:hAnsi="Times New Roman" w:eastAsia="仿宋" w:cs="Times New Roman"/>
          <w:b/>
          <w:bCs/>
          <w:color w:val="auto"/>
          <w:sz w:val="28"/>
          <w:szCs w:val="28"/>
          <w:lang w:val="en-US" w:eastAsia="zh-CN"/>
        </w:rPr>
        <w:t>附件 5.6环境应急支持单位和应急场所信息调查表</w:t>
      </w:r>
    </w:p>
    <w:p>
      <w:pPr>
        <w:adjustRightInd w:val="0"/>
        <w:snapToGrid w:val="0"/>
        <w:spacing w:afterLines="30"/>
        <w:jc w:val="left"/>
        <w:rPr>
          <w:rFonts w:hint="eastAsia"/>
          <w:b/>
          <w:color w:val="auto"/>
          <w:sz w:val="24"/>
          <w:szCs w:val="24"/>
        </w:rPr>
      </w:pPr>
      <w:r>
        <w:rPr>
          <w:rFonts w:hint="eastAsia"/>
          <w:b/>
          <w:color w:val="auto"/>
          <w:sz w:val="24"/>
          <w:szCs w:val="24"/>
        </w:rPr>
        <w:t>调查人及联系方式：                         审核人及联系方式：</w:t>
      </w:r>
    </w:p>
    <w:tbl>
      <w:tblPr>
        <w:tblStyle w:val="21"/>
        <w:tblW w:w="8789" w:type="dxa"/>
        <w:tblInd w:w="108" w:type="dxa"/>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559"/>
        <w:gridCol w:w="2809"/>
        <w:gridCol w:w="2107"/>
        <w:gridCol w:w="1605"/>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155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类  别</w:t>
            </w:r>
          </w:p>
        </w:tc>
        <w:tc>
          <w:tcPr>
            <w:tcW w:w="2809" w:type="dxa"/>
            <w:vAlign w:val="center"/>
          </w:tcPr>
          <w:p>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color w:val="auto"/>
                <w:sz w:val="21"/>
                <w:szCs w:val="21"/>
              </w:rPr>
              <w:t>单位名称</w:t>
            </w:r>
          </w:p>
        </w:tc>
        <w:tc>
          <w:tcPr>
            <w:tcW w:w="2107" w:type="dxa"/>
            <w:vAlign w:val="center"/>
          </w:tcPr>
          <w:p>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color w:val="auto"/>
                <w:sz w:val="21"/>
                <w:szCs w:val="21"/>
              </w:rPr>
              <w:t>主 要 能 力</w:t>
            </w:r>
          </w:p>
        </w:tc>
        <w:tc>
          <w:tcPr>
            <w:tcW w:w="1605" w:type="dxa"/>
            <w:vAlign w:val="center"/>
          </w:tcPr>
          <w:p>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color w:val="auto"/>
                <w:sz w:val="21"/>
                <w:szCs w:val="21"/>
              </w:rPr>
              <w:t>备注</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eastAsia"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w:t>
            </w:r>
          </w:p>
        </w:tc>
        <w:tc>
          <w:tcPr>
            <w:tcW w:w="1559" w:type="dxa"/>
            <w:vMerge w:val="restart"/>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应急救援单位</w:t>
            </w:r>
          </w:p>
        </w:tc>
        <w:tc>
          <w:tcPr>
            <w:tcW w:w="2809" w:type="dxa"/>
            <w:vAlign w:val="center"/>
          </w:tcPr>
          <w:p>
            <w:pPr>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公安报警</w:t>
            </w:r>
          </w:p>
        </w:tc>
        <w:tc>
          <w:tcPr>
            <w:tcW w:w="2107" w:type="dxa"/>
            <w:vMerge w:val="restart"/>
            <w:vAlign w:val="center"/>
          </w:tcPr>
          <w:p>
            <w:pPr>
              <w:adjustRightInd w:val="0"/>
              <w:snapToGrid w:val="0"/>
              <w:jc w:val="center"/>
              <w:rPr>
                <w:rFonts w:hint="default" w:ascii="Times New Roman" w:hAnsi="Times New Roman" w:eastAsia="仿宋" w:cs="Times New Roman"/>
                <w:b/>
                <w:color w:val="auto"/>
                <w:sz w:val="21"/>
                <w:szCs w:val="21"/>
              </w:rPr>
            </w:pPr>
            <w:r>
              <w:rPr>
                <w:rFonts w:hint="eastAsia" w:ascii="Times New Roman" w:hAnsi="Times New Roman" w:eastAsia="仿宋" w:cs="Times New Roman"/>
                <w:color w:val="auto"/>
                <w:kern w:val="0"/>
                <w:sz w:val="21"/>
                <w:szCs w:val="21"/>
                <w:lang w:val="en-US" w:eastAsia="zh-CN" w:bidi="ar-SA"/>
              </w:rPr>
              <w:t>对突发环境环境事件展开救援工作</w:t>
            </w: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110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eastAsia"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2</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消防报警</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119</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3</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医疗急救</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120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4</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贾汪区政府</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0516-66889267</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6</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徐州市</w:t>
            </w:r>
            <w:r>
              <w:rPr>
                <w:rFonts w:hint="eastAsia" w:ascii="Times New Roman" w:hAnsi="Times New Roman" w:eastAsia="仿宋" w:cs="Times New Roman"/>
                <w:color w:val="auto"/>
                <w:kern w:val="2"/>
                <w:sz w:val="21"/>
                <w:szCs w:val="21"/>
                <w:lang w:val="en-US" w:eastAsia="zh-CN" w:bidi="ar-SA"/>
              </w:rPr>
              <w:t>贾汪</w:t>
            </w:r>
            <w:r>
              <w:rPr>
                <w:rFonts w:hint="default" w:ascii="Times New Roman" w:hAnsi="Times New Roman" w:eastAsia="仿宋" w:cs="Times New Roman"/>
                <w:color w:val="auto"/>
                <w:kern w:val="2"/>
                <w:sz w:val="21"/>
                <w:szCs w:val="21"/>
                <w:lang w:val="en-US" w:eastAsia="zh-CN" w:bidi="ar-SA"/>
              </w:rPr>
              <w:t>生态环境局</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0516-80112369</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7</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贾汪区公安局</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0516-87712104</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8</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贾汪区交通局</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0516-87716333</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9</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widowControl/>
              <w:tabs>
                <w:tab w:val="center" w:pos="4649"/>
                <w:tab w:val="left" w:pos="5895"/>
              </w:tabs>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贾汪区人民医院</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0516-87715120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10</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贾汪区</w:t>
            </w:r>
            <w:r>
              <w:rPr>
                <w:rFonts w:hint="eastAsia" w:ascii="Times New Roman" w:hAnsi="Times New Roman" w:eastAsia="仿宋" w:cs="Times New Roman"/>
                <w:color w:val="auto"/>
                <w:kern w:val="0"/>
                <w:sz w:val="21"/>
                <w:szCs w:val="21"/>
                <w:lang w:eastAsia="zh-CN"/>
              </w:rPr>
              <w:t>应急管理局</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0516-87812118</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11</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spacing w:line="240" w:lineRule="auto"/>
              <w:ind w:firstLine="0" w:firstLineChars="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徐州市</w:t>
            </w:r>
            <w:r>
              <w:rPr>
                <w:rFonts w:hint="eastAsia" w:ascii="Times New Roman" w:hAnsi="Times New Roman" w:eastAsia="仿宋" w:cs="Times New Roman"/>
                <w:color w:val="auto"/>
                <w:kern w:val="0"/>
                <w:sz w:val="21"/>
                <w:szCs w:val="21"/>
                <w:lang w:eastAsia="zh-CN"/>
              </w:rPr>
              <w:t>应急管理局</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0516-83739658</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12</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spacing w:line="240" w:lineRule="auto"/>
              <w:ind w:firstLine="0" w:firstLineChars="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徐州市</w:t>
            </w:r>
            <w:r>
              <w:rPr>
                <w:rFonts w:hint="eastAsia" w:ascii="Times New Roman" w:hAnsi="Times New Roman" w:eastAsia="仿宋" w:cs="Times New Roman"/>
                <w:color w:val="auto"/>
                <w:kern w:val="0"/>
                <w:sz w:val="21"/>
                <w:szCs w:val="21"/>
                <w:lang w:eastAsia="zh-CN"/>
              </w:rPr>
              <w:t>生态环境局</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12369</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13</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spacing w:line="240" w:lineRule="auto"/>
              <w:ind w:firstLine="0" w:firstLine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eastAsia="zh-CN"/>
              </w:rPr>
              <w:t>江苏省徐州环境监测中心</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0516-856356</w:t>
            </w:r>
            <w:r>
              <w:rPr>
                <w:rFonts w:hint="eastAsia" w:ascii="Times New Roman" w:hAnsi="Times New Roman" w:eastAsia="仿宋" w:cs="Times New Roman"/>
                <w:color w:val="auto"/>
                <w:kern w:val="0"/>
                <w:sz w:val="21"/>
                <w:szCs w:val="21"/>
                <w:lang w:val="en-US" w:eastAsia="zh-CN"/>
              </w:rPr>
              <w:t>80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14</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spacing w:line="240" w:lineRule="auto"/>
              <w:ind w:firstLine="0" w:firstLineChars="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徐州市第一人民医院</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0516-85803000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15</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top"/>
          </w:tcPr>
          <w:p>
            <w:pPr>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徐州工业园区管委会</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top"/>
          </w:tcPr>
          <w:p>
            <w:pPr>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rPr>
              <w:t>0516-85523818</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11</w:t>
            </w:r>
          </w:p>
        </w:tc>
        <w:tc>
          <w:tcPr>
            <w:tcW w:w="1559" w:type="dxa"/>
            <w:vMerge w:val="restart"/>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应急监测单位</w:t>
            </w:r>
          </w:p>
        </w:tc>
        <w:tc>
          <w:tcPr>
            <w:tcW w:w="280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江苏徐海环境监测有限公司</w:t>
            </w:r>
          </w:p>
        </w:tc>
        <w:tc>
          <w:tcPr>
            <w:tcW w:w="2107" w:type="dxa"/>
            <w:vMerge w:val="restart"/>
            <w:vAlign w:val="center"/>
          </w:tcPr>
          <w:p>
            <w:pPr>
              <w:adjustRightInd w:val="0"/>
              <w:snapToGrid w:val="0"/>
              <w:jc w:val="center"/>
              <w:rPr>
                <w:rFonts w:hint="eastAsia" w:ascii="Times New Roman" w:hAnsi="Times New Roman" w:eastAsia="仿宋" w:cs="Times New Roman"/>
                <w:b/>
                <w:color w:val="auto"/>
                <w:sz w:val="21"/>
                <w:szCs w:val="21"/>
                <w:lang w:eastAsia="zh-CN"/>
              </w:rPr>
            </w:pPr>
            <w:r>
              <w:rPr>
                <w:rFonts w:hint="eastAsia" w:ascii="Times New Roman" w:hAnsi="Times New Roman" w:eastAsia="仿宋" w:cs="Times New Roman"/>
                <w:b/>
                <w:color w:val="auto"/>
                <w:sz w:val="21"/>
                <w:szCs w:val="21"/>
                <w:lang w:eastAsia="zh-CN"/>
              </w:rPr>
              <w:t>应急监测</w:t>
            </w:r>
          </w:p>
        </w:tc>
        <w:tc>
          <w:tcPr>
            <w:tcW w:w="1605"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color w:val="auto"/>
                <w:sz w:val="21"/>
                <w:szCs w:val="21"/>
                <w:lang w:val="en-US" w:eastAsia="zh-CN"/>
              </w:rPr>
              <w:t>13775888007</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12</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贾汪区环境监测</w:t>
            </w:r>
          </w:p>
        </w:tc>
        <w:tc>
          <w:tcPr>
            <w:tcW w:w="2107" w:type="dxa"/>
            <w:vMerge w:val="continue"/>
            <w:vAlign w:val="center"/>
          </w:tcPr>
          <w:p>
            <w:pPr>
              <w:adjustRightInd w:val="0"/>
              <w:snapToGrid w:val="0"/>
              <w:jc w:val="center"/>
              <w:rPr>
                <w:rFonts w:hint="eastAsia" w:ascii="Times New Roman" w:hAnsi="Times New Roman" w:eastAsia="仿宋" w:cs="Times New Roman"/>
                <w:b/>
                <w:color w:val="auto"/>
                <w:sz w:val="21"/>
                <w:szCs w:val="21"/>
                <w:lang w:eastAsia="zh-CN"/>
              </w:rPr>
            </w:pPr>
          </w:p>
        </w:tc>
        <w:tc>
          <w:tcPr>
            <w:tcW w:w="1605" w:type="dxa"/>
            <w:vAlign w:val="center"/>
          </w:tcPr>
          <w:p>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color w:val="auto"/>
                <w:kern w:val="0"/>
                <w:sz w:val="21"/>
                <w:szCs w:val="21"/>
              </w:rPr>
              <w:t>0516-68386096</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13</w:t>
            </w:r>
          </w:p>
        </w:tc>
        <w:tc>
          <w:tcPr>
            <w:tcW w:w="155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应急指挥场所</w:t>
            </w:r>
          </w:p>
        </w:tc>
        <w:tc>
          <w:tcPr>
            <w:tcW w:w="2809" w:type="dxa"/>
            <w:vAlign w:val="center"/>
          </w:tcPr>
          <w:p>
            <w:pPr>
              <w:adjustRightInd w:val="0"/>
              <w:snapToGrid w:val="0"/>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贾汪区人民政府</w:t>
            </w:r>
          </w:p>
        </w:tc>
        <w:tc>
          <w:tcPr>
            <w:tcW w:w="2107" w:type="dxa"/>
            <w:vAlign w:val="center"/>
          </w:tcPr>
          <w:p>
            <w:pPr>
              <w:adjustRightInd w:val="0"/>
              <w:snapToGrid w:val="0"/>
              <w:jc w:val="center"/>
              <w:rPr>
                <w:rFonts w:hint="eastAsia" w:ascii="Times New Roman" w:hAnsi="Times New Roman" w:eastAsia="仿宋" w:cs="Times New Roman"/>
                <w:b/>
                <w:color w:val="auto"/>
                <w:sz w:val="21"/>
                <w:szCs w:val="21"/>
                <w:lang w:eastAsia="zh-CN"/>
              </w:rPr>
            </w:pPr>
            <w:r>
              <w:rPr>
                <w:rFonts w:hint="eastAsia" w:ascii="Times New Roman" w:hAnsi="Times New Roman" w:eastAsia="仿宋" w:cs="Times New Roman"/>
                <w:b/>
                <w:color w:val="auto"/>
                <w:sz w:val="21"/>
                <w:szCs w:val="21"/>
                <w:lang w:eastAsia="zh-CN"/>
              </w:rPr>
              <w:t>指挥企业及救援单位展开救援工作</w:t>
            </w:r>
          </w:p>
        </w:tc>
        <w:tc>
          <w:tcPr>
            <w:tcW w:w="1605" w:type="dxa"/>
            <w:vAlign w:val="center"/>
          </w:tcPr>
          <w:p>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color w:val="auto"/>
                <w:sz w:val="21"/>
                <w:szCs w:val="21"/>
              </w:rPr>
              <w:t>0516-66889267</w:t>
            </w:r>
          </w:p>
        </w:tc>
      </w:tr>
    </w:tbl>
    <w:p>
      <w:pPr>
        <w:snapToGrid w:val="0"/>
        <w:spacing w:before="50" w:after="50"/>
        <w:ind w:firstLine="560" w:firstLineChars="200"/>
        <w:rPr>
          <w:rFonts w:eastAsia="仿宋"/>
          <w:color w:val="auto"/>
          <w:sz w:val="28"/>
          <w:szCs w:val="28"/>
        </w:rPr>
      </w:pPr>
    </w:p>
    <w:p>
      <w:pPr>
        <w:pStyle w:val="4"/>
        <w:tabs>
          <w:tab w:val="left" w:pos="2995"/>
        </w:tabs>
        <w:spacing w:line="621" w:lineRule="exact"/>
        <w:ind w:left="386" w:right="0"/>
        <w:jc w:val="left"/>
        <w:rPr>
          <w:b w:val="0"/>
          <w:bCs w:val="0"/>
          <w:color w:val="auto"/>
          <w:spacing w:val="2"/>
          <w:w w:val="100"/>
        </w:rPr>
        <w:sectPr>
          <w:headerReference r:id="rId10" w:type="default"/>
          <w:footerReference r:id="rId11" w:type="default"/>
          <w:type w:val="continuous"/>
          <w:pgSz w:w="11906" w:h="16838"/>
          <w:pgMar w:top="1440" w:right="1474" w:bottom="1440" w:left="170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color w:val="auto"/>
        </w:rPr>
      </w:pPr>
    </w:p>
    <w:p>
      <w:pPr>
        <w:pStyle w:val="4"/>
        <w:tabs>
          <w:tab w:val="left" w:pos="2995"/>
        </w:tabs>
        <w:spacing w:line="621" w:lineRule="exact"/>
        <w:ind w:left="386" w:right="0"/>
        <w:jc w:val="left"/>
        <w:rPr>
          <w:b w:val="0"/>
          <w:bCs w:val="0"/>
          <w:color w:val="auto"/>
          <w:spacing w:val="2"/>
          <w:w w:val="100"/>
        </w:rPr>
      </w:pPr>
    </w:p>
    <w:p>
      <w:pPr>
        <w:pStyle w:val="4"/>
        <w:tabs>
          <w:tab w:val="left" w:pos="2995"/>
        </w:tabs>
        <w:spacing w:line="621" w:lineRule="exact"/>
        <w:ind w:left="386" w:right="0"/>
        <w:jc w:val="left"/>
        <w:rPr>
          <w:b w:val="0"/>
          <w:bCs w:val="0"/>
          <w:color w:val="auto"/>
          <w:spacing w:val="2"/>
          <w:w w:val="100"/>
        </w:rPr>
      </w:pPr>
    </w:p>
    <w:p>
      <w:pPr>
        <w:pStyle w:val="4"/>
        <w:tabs>
          <w:tab w:val="left" w:pos="2995"/>
        </w:tabs>
        <w:spacing w:line="621" w:lineRule="exact"/>
        <w:ind w:left="386" w:right="0"/>
        <w:jc w:val="left"/>
        <w:rPr>
          <w:b w:val="0"/>
          <w:bCs w:val="0"/>
          <w:color w:val="auto"/>
          <w:spacing w:val="2"/>
          <w:w w:val="100"/>
        </w:rPr>
      </w:pPr>
    </w:p>
    <w:p>
      <w:pPr>
        <w:pStyle w:val="4"/>
        <w:tabs>
          <w:tab w:val="left" w:pos="2995"/>
        </w:tabs>
        <w:spacing w:line="621" w:lineRule="exact"/>
        <w:ind w:left="386" w:right="0"/>
        <w:jc w:val="left"/>
        <w:rPr>
          <w:b w:val="0"/>
          <w:bCs w:val="0"/>
          <w:color w:val="auto"/>
          <w:spacing w:val="2"/>
          <w:w w:val="100"/>
        </w:rPr>
      </w:pPr>
    </w:p>
    <w:p>
      <w:pPr>
        <w:pStyle w:val="4"/>
        <w:tabs>
          <w:tab w:val="left" w:pos="2995"/>
        </w:tabs>
        <w:spacing w:line="621" w:lineRule="exact"/>
        <w:ind w:left="386" w:right="0"/>
        <w:jc w:val="left"/>
        <w:rPr>
          <w:b w:val="0"/>
          <w:bCs w:val="0"/>
          <w:color w:val="auto"/>
          <w:spacing w:val="2"/>
          <w:w w:val="100"/>
        </w:rPr>
      </w:pPr>
    </w:p>
    <w:p>
      <w:pPr>
        <w:pStyle w:val="4"/>
        <w:tabs>
          <w:tab w:val="left" w:pos="2995"/>
        </w:tabs>
        <w:spacing w:line="621" w:lineRule="exact"/>
        <w:ind w:left="386" w:right="0"/>
        <w:jc w:val="left"/>
        <w:rPr>
          <w:b w:val="0"/>
          <w:bCs w:val="0"/>
          <w:color w:val="auto"/>
          <w:spacing w:val="2"/>
          <w:w w:val="100"/>
        </w:rPr>
      </w:pPr>
    </w:p>
    <w:p>
      <w:pPr>
        <w:pStyle w:val="4"/>
        <w:tabs>
          <w:tab w:val="left" w:pos="2995"/>
        </w:tabs>
        <w:spacing w:line="621" w:lineRule="exact"/>
        <w:ind w:left="386" w:right="0"/>
        <w:jc w:val="left"/>
        <w:rPr>
          <w:b w:val="0"/>
          <w:bCs w:val="0"/>
          <w:color w:val="auto"/>
          <w:spacing w:val="2"/>
          <w:w w:val="100"/>
        </w:rPr>
      </w:pPr>
    </w:p>
    <w:p>
      <w:pPr>
        <w:pStyle w:val="4"/>
        <w:tabs>
          <w:tab w:val="left" w:pos="2995"/>
        </w:tabs>
        <w:spacing w:line="621" w:lineRule="exact"/>
        <w:ind w:left="386" w:right="0"/>
        <w:jc w:val="left"/>
        <w:rPr>
          <w:b w:val="0"/>
          <w:bCs w:val="0"/>
          <w:color w:val="auto"/>
          <w:spacing w:val="2"/>
          <w:w w:val="100"/>
        </w:rPr>
      </w:pPr>
    </w:p>
    <w:p>
      <w:pPr>
        <w:numPr>
          <w:ilvl w:val="0"/>
          <w:numId w:val="0"/>
        </w:numPr>
        <w:spacing w:line="360" w:lineRule="auto"/>
        <w:jc w:val="center"/>
        <w:outlineLvl w:val="0"/>
        <w:rPr>
          <w:rFonts w:hint="eastAsia" w:ascii="Times New Roman" w:hAnsi="Times New Roman" w:eastAsia="仿宋" w:cs="Times New Roman"/>
          <w:b/>
          <w:bCs/>
          <w:color w:val="auto"/>
          <w:sz w:val="84"/>
          <w:szCs w:val="84"/>
          <w:lang w:eastAsia="zh-CN"/>
        </w:rPr>
      </w:pPr>
      <w:bookmarkStart w:id="123" w:name="_Toc1274"/>
      <w:r>
        <w:rPr>
          <w:rFonts w:hint="eastAsia" w:ascii="Times New Roman" w:hAnsi="Times New Roman" w:eastAsia="仿宋" w:cs="Times New Roman"/>
          <w:b/>
          <w:bCs/>
          <w:color w:val="auto"/>
          <w:sz w:val="84"/>
          <w:szCs w:val="84"/>
          <w:lang w:eastAsia="zh-CN"/>
        </w:rPr>
        <w:t>第三部分</w:t>
      </w:r>
    </w:p>
    <w:p>
      <w:pPr>
        <w:numPr>
          <w:ilvl w:val="0"/>
          <w:numId w:val="0"/>
        </w:numPr>
        <w:spacing w:line="360" w:lineRule="auto"/>
        <w:jc w:val="center"/>
        <w:outlineLvl w:val="0"/>
        <w:rPr>
          <w:rFonts w:hint="eastAsia" w:ascii="Times New Roman" w:hAnsi="Times New Roman" w:eastAsia="仿宋" w:cs="Times New Roman"/>
          <w:b/>
          <w:bCs/>
          <w:color w:val="auto"/>
          <w:sz w:val="84"/>
          <w:szCs w:val="84"/>
          <w:lang w:eastAsia="zh-CN"/>
        </w:rPr>
      </w:pPr>
      <w:r>
        <w:rPr>
          <w:rFonts w:hint="eastAsia" w:ascii="Times New Roman" w:hAnsi="Times New Roman" w:eastAsia="仿宋" w:cs="Times New Roman"/>
          <w:b/>
          <w:bCs/>
          <w:color w:val="auto"/>
          <w:sz w:val="84"/>
          <w:szCs w:val="84"/>
          <w:lang w:eastAsia="zh-CN"/>
        </w:rPr>
        <w:t>突发环境事件应急预案</w:t>
      </w:r>
      <w:bookmarkEnd w:id="123"/>
    </w:p>
    <w:p>
      <w:pPr>
        <w:snapToGrid w:val="0"/>
        <w:spacing w:before="50" w:after="50"/>
        <w:ind w:firstLine="560" w:firstLineChars="200"/>
        <w:rPr>
          <w:rFonts w:eastAsia="仿宋"/>
          <w:color w:val="auto"/>
          <w:sz w:val="28"/>
          <w:szCs w:val="28"/>
        </w:rPr>
        <w:sectPr>
          <w:headerReference r:id="rId12" w:type="default"/>
          <w:footerReference r:id="rId13" w:type="default"/>
          <w:pgSz w:w="11906" w:h="16838"/>
          <w:pgMar w:top="1440" w:right="1417" w:bottom="144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keepNext/>
        <w:keepLines/>
        <w:widowControl w:val="0"/>
        <w:wordWrap/>
        <w:adjustRightInd w:val="0"/>
        <w:snapToGrid w:val="0"/>
        <w:spacing w:before="0" w:beforeAutospacing="0" w:line="360" w:lineRule="auto"/>
        <w:ind w:left="0"/>
        <w:jc w:val="both"/>
        <w:textAlignment w:val="auto"/>
        <w:outlineLvl w:val="0"/>
        <w:rPr>
          <w:rFonts w:hint="default" w:ascii="Times New Roman" w:hAnsi="Times New Roman" w:eastAsia="仿宋" w:cs="Times New Roman"/>
          <w:b/>
          <w:color w:val="auto"/>
          <w:sz w:val="32"/>
          <w:szCs w:val="32"/>
        </w:rPr>
      </w:pPr>
      <w:bookmarkStart w:id="124" w:name="_Toc27807"/>
      <w:bookmarkStart w:id="125" w:name="_Toc516651804"/>
      <w:bookmarkStart w:id="126" w:name="_Toc525292620"/>
      <w:r>
        <w:rPr>
          <w:rFonts w:hint="default" w:ascii="Times New Roman" w:hAnsi="Times New Roman" w:eastAsia="仿宋" w:cs="Times New Roman"/>
          <w:b/>
          <w:color w:val="auto"/>
          <w:sz w:val="32"/>
          <w:szCs w:val="32"/>
        </w:rPr>
        <w:t>1总则</w:t>
      </w:r>
      <w:bookmarkEnd w:id="124"/>
      <w:bookmarkEnd w:id="125"/>
      <w:bookmarkEnd w:id="126"/>
      <w:r>
        <w:rPr>
          <w:rFonts w:hint="default" w:ascii="Times New Roman" w:hAnsi="Times New Roman" w:eastAsia="仿宋" w:cs="Times New Roman"/>
          <w:b/>
          <w:color w:val="auto"/>
          <w:sz w:val="32"/>
          <w:szCs w:val="32"/>
        </w:rPr>
        <w:t xml:space="preserve"> </w:t>
      </w:r>
    </w:p>
    <w:p>
      <w:pPr>
        <w:pStyle w:val="5"/>
        <w:keepNext/>
        <w:keepLines/>
        <w:pageBreakBefore w:val="0"/>
        <w:widowControl w:val="0"/>
        <w:kinsoku/>
        <w:wordWrap/>
        <w:overflowPunct/>
        <w:topLinePunct w:val="0"/>
        <w:autoSpaceDE/>
        <w:autoSpaceDN/>
        <w:bidi w:val="0"/>
        <w:adjustRightInd w:val="0"/>
        <w:snapToGrid w:val="0"/>
        <w:spacing w:before="0" w:beforeAutospacing="0" w:line="360" w:lineRule="auto"/>
        <w:ind w:left="0"/>
        <w:jc w:val="both"/>
        <w:textAlignment w:val="auto"/>
        <w:outlineLvl w:val="1"/>
        <w:rPr>
          <w:rFonts w:hint="default" w:ascii="Times New Roman" w:hAnsi="Times New Roman" w:eastAsia="仿宋" w:cs="Times New Roman"/>
          <w:b/>
          <w:color w:val="auto"/>
          <w:sz w:val="30"/>
          <w:szCs w:val="30"/>
        </w:rPr>
      </w:pPr>
      <w:bookmarkStart w:id="127" w:name="_Toc525292621"/>
      <w:bookmarkStart w:id="128" w:name="_Toc28421"/>
      <w:bookmarkStart w:id="129" w:name="_Toc516651805"/>
      <w:r>
        <w:rPr>
          <w:rFonts w:hint="default" w:ascii="Times New Roman" w:hAnsi="Times New Roman" w:eastAsia="仿宋" w:cs="Times New Roman"/>
          <w:b/>
          <w:color w:val="auto"/>
          <w:sz w:val="30"/>
          <w:szCs w:val="30"/>
        </w:rPr>
        <w:t>1.1 编制目的</w:t>
      </w:r>
      <w:bookmarkEnd w:id="127"/>
      <w:bookmarkEnd w:id="128"/>
      <w:bookmarkEnd w:id="129"/>
      <w:r>
        <w:rPr>
          <w:rFonts w:hint="default" w:ascii="Times New Roman" w:hAnsi="Times New Roman" w:eastAsia="仿宋" w:cs="Times New Roman"/>
          <w:b/>
          <w:color w:val="auto"/>
          <w:sz w:val="30"/>
          <w:szCs w:val="30"/>
        </w:rPr>
        <w:t xml:space="preserve"> </w:t>
      </w:r>
    </w:p>
    <w:p>
      <w:pPr>
        <w:pageBreakBefore w:val="0"/>
        <w:widowControl w:val="0"/>
        <w:kinsoku/>
        <w:wordWrap/>
        <w:overflowPunct/>
        <w:topLinePunct w:val="0"/>
        <w:autoSpaceDE/>
        <w:autoSpaceDN/>
        <w:bidi w:val="0"/>
        <w:snapToGrid w:val="0"/>
        <w:spacing w:beforeAutospacing="0" w:line="360" w:lineRule="auto"/>
        <w:ind w:firstLine="560" w:firstLineChars="200"/>
        <w:textAlignment w:val="auto"/>
        <w:rPr>
          <w:rFonts w:eastAsia="仿宋"/>
          <w:color w:val="auto"/>
          <w:sz w:val="28"/>
          <w:szCs w:val="28"/>
        </w:rPr>
      </w:pPr>
      <w:r>
        <w:rPr>
          <w:rFonts w:hint="eastAsia" w:eastAsia="仿宋"/>
          <w:color w:val="auto"/>
          <w:sz w:val="28"/>
          <w:szCs w:val="28"/>
        </w:rPr>
        <w:t>按照江苏省《江苏省突发环境污染事故应急预案编制导则（试行）》（企业事业版）有关要求，江苏超力建材科技有限公司制定符合实际情况的突发环境事件应急预案，提高公司对突发环境事件的应对能力。以有效应对突发环境事件，防止重大突发环境事件及次生、伴生事故的发生，对突发环境事件及时组织有效救援，控制事件危害的蔓延，减小伴随的环境影响。确保江苏超力建材科技有限公司及区域的环境安全。</w:t>
      </w:r>
    </w:p>
    <w:p>
      <w:pPr>
        <w:pStyle w:val="5"/>
        <w:keepNext/>
        <w:keepLines/>
        <w:pageBreakBefore w:val="0"/>
        <w:widowControl w:val="0"/>
        <w:kinsoku/>
        <w:wordWrap/>
        <w:overflowPunct/>
        <w:topLinePunct w:val="0"/>
        <w:autoSpaceDE/>
        <w:autoSpaceDN/>
        <w:bidi w:val="0"/>
        <w:adjustRightInd w:val="0"/>
        <w:snapToGrid w:val="0"/>
        <w:spacing w:before="0" w:beforeAutospacing="0" w:line="360" w:lineRule="auto"/>
        <w:ind w:left="0"/>
        <w:jc w:val="both"/>
        <w:textAlignment w:val="auto"/>
        <w:outlineLvl w:val="1"/>
        <w:rPr>
          <w:rFonts w:hint="default" w:ascii="Times New Roman" w:hAnsi="Times New Roman" w:eastAsia="仿宋" w:cs="Times New Roman"/>
          <w:b/>
          <w:color w:val="auto"/>
          <w:sz w:val="30"/>
          <w:szCs w:val="30"/>
        </w:rPr>
      </w:pPr>
      <w:bookmarkStart w:id="130" w:name="_Toc516651806"/>
      <w:bookmarkStart w:id="131" w:name="_Toc525292622"/>
      <w:bookmarkStart w:id="132" w:name="_Toc1030"/>
      <w:r>
        <w:rPr>
          <w:rFonts w:hint="default" w:ascii="Times New Roman" w:hAnsi="Times New Roman" w:eastAsia="仿宋" w:cs="Times New Roman"/>
          <w:b/>
          <w:color w:val="auto"/>
          <w:sz w:val="30"/>
          <w:szCs w:val="30"/>
        </w:rPr>
        <w:t>1.2</w:t>
      </w:r>
      <w:r>
        <w:rPr>
          <w:rFonts w:hint="eastAsia" w:ascii="Times New Roman" w:hAnsi="Times New Roman" w:eastAsia="仿宋" w:cs="Times New Roman"/>
          <w:b/>
          <w:color w:val="auto"/>
          <w:sz w:val="30"/>
          <w:szCs w:val="30"/>
          <w:lang w:eastAsia="zh-CN"/>
        </w:rPr>
        <w:t>、</w:t>
      </w:r>
      <w:r>
        <w:rPr>
          <w:rFonts w:hint="eastAsia" w:ascii="Times New Roman" w:hAnsi="Times New Roman" w:eastAsia="仿宋" w:cs="Times New Roman"/>
          <w:b/>
          <w:color w:val="auto"/>
          <w:sz w:val="30"/>
          <w:szCs w:val="30"/>
        </w:rPr>
        <w:t>编制依据</w:t>
      </w:r>
      <w:bookmarkEnd w:id="130"/>
      <w:bookmarkEnd w:id="131"/>
      <w:bookmarkEnd w:id="132"/>
      <w:r>
        <w:rPr>
          <w:rFonts w:hint="default" w:ascii="Times New Roman" w:hAnsi="Times New Roman" w:eastAsia="仿宋" w:cs="Times New Roman"/>
          <w:b/>
          <w:color w:val="auto"/>
          <w:sz w:val="30"/>
          <w:szCs w:val="30"/>
        </w:rPr>
        <w:t xml:space="preserve"> </w:t>
      </w:r>
    </w:p>
    <w:p>
      <w:pPr>
        <w:pStyle w:val="6"/>
        <w:pageBreakBefore w:val="0"/>
        <w:widowControl w:val="0"/>
        <w:kinsoku/>
        <w:wordWrap/>
        <w:overflowPunct/>
        <w:topLinePunct w:val="0"/>
        <w:autoSpaceDE/>
        <w:autoSpaceDN/>
        <w:bidi w:val="0"/>
        <w:spacing w:before="0" w:beforeAutospacing="0" w:after="0" w:line="360" w:lineRule="auto"/>
        <w:ind w:left="0"/>
        <w:textAlignment w:val="auto"/>
        <w:outlineLvl w:val="2"/>
        <w:rPr>
          <w:rFonts w:hint="default" w:ascii="Times New Roman" w:hAnsi="Times New Roman" w:eastAsia="仿宋" w:cs="Times New Roman"/>
          <w:b/>
          <w:color w:val="auto"/>
          <w:sz w:val="28"/>
          <w:szCs w:val="28"/>
        </w:rPr>
      </w:pPr>
      <w:bookmarkStart w:id="133" w:name="_Toc22488"/>
      <w:bookmarkStart w:id="134" w:name="_Toc516651807"/>
      <w:bookmarkStart w:id="135" w:name="_Toc525292623"/>
      <w:r>
        <w:rPr>
          <w:rFonts w:hint="default" w:ascii="Times New Roman" w:hAnsi="Times New Roman" w:eastAsia="仿宋" w:cs="Times New Roman"/>
          <w:b/>
          <w:color w:val="auto"/>
          <w:sz w:val="28"/>
          <w:szCs w:val="28"/>
        </w:rPr>
        <w:t>1.2.1</w:t>
      </w:r>
      <w:r>
        <w:rPr>
          <w:rFonts w:hint="default" w:ascii="Times New Roman" w:hAnsi="Times New Roman" w:eastAsia="仿宋" w:cs="Times New Roman"/>
          <w:b/>
          <w:color w:val="auto"/>
          <w:sz w:val="28"/>
          <w:szCs w:val="28"/>
          <w:lang w:eastAsia="zh-CN"/>
        </w:rPr>
        <w:t>、</w:t>
      </w:r>
      <w:r>
        <w:rPr>
          <w:rFonts w:hint="default" w:ascii="Times New Roman" w:hAnsi="Times New Roman" w:eastAsia="仿宋" w:cs="Times New Roman"/>
          <w:b/>
          <w:color w:val="auto"/>
          <w:sz w:val="28"/>
          <w:szCs w:val="28"/>
        </w:rPr>
        <w:t>法律、法规、规章</w:t>
      </w:r>
      <w:bookmarkEnd w:id="133"/>
      <w:bookmarkEnd w:id="134"/>
      <w:bookmarkEnd w:id="135"/>
      <w:r>
        <w:rPr>
          <w:rFonts w:hint="default" w:ascii="Times New Roman" w:hAnsi="Times New Roman" w:eastAsia="仿宋" w:cs="Times New Roman"/>
          <w:b/>
          <w:color w:val="auto"/>
          <w:sz w:val="28"/>
          <w:szCs w:val="28"/>
        </w:rPr>
        <w:t xml:space="preserve"> </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1、《中华人民共和国环境保护法》（2015.1.1 起施行）；</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2、《中华人民共和国水污染防治法》（2018.1.1 起施行）；</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3、《中华人民共和国大气污染防治法》（2018年10月26日修订并实行）；</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4、《中华人民共和国固体废物污染环境防治法》（2016年11月7日修订并实施）；</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5、《中华人民共和国安全生产法》（2014.12.1 起施行）；</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6、《中华人民共和国消防法》（2009.5.1 起施行）</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7、《中华人民共和国突发事件应对法》（2007.11.1 起施行）；</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8、《突发环境事件调查处理办法》（环境保护部令第32号）</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9、《突发环境事件信息报告办法》(环境保护部令第 17 号)；</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10、《企业事业单位突发环境事件应急预案备案管理办法（试行）》 (环发[2015]4 号)；</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11、《国务院关于全面加强应急管理工作的意见》（国发[2006]24 号）；</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12、《国务院办公厅关于加强基层应急管理工作的意见》（国办发[2007]52 号）；</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13、《省政府办公厅关于切实加强基层应急队伍建设的意见》（苏政办发[2010]3 号）；</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14、《生产安全事故应急预案管理办法》（安监总局令 17 号，2009.5.1 起施行）；</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15、《省政府办公厅关于印发江苏省突发事件应急预案管理办法的通知》（苏政办发[2012]153 号）；</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16、《江苏省大气污染防治条例》 (2018年3月28日江苏省第十三届人民代表大会常务委员会第二次会议第一次修正)；</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17、《关于企业事业单位突发环境事件应急预案备案管理有关事项的通知》（苏环办[2015]224 号）；</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18、</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突发环境事件应急管理办法》（环境保护部令第34号）；</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19、《江苏省固体废物污染环境防治条例》（2018年3月28日江苏省第十三届人民代表大会常务委员会第三十次会议第二次修正）；</w:t>
      </w:r>
    </w:p>
    <w:p>
      <w:pPr>
        <w:snapToGrid w:val="0"/>
        <w:spacing w:before="50" w:after="50"/>
        <w:ind w:firstLine="560" w:firstLineChars="200"/>
        <w:rPr>
          <w:rFonts w:hint="default" w:ascii="Times New Roman" w:hAnsi="Times New Roman" w:eastAsia="仿宋" w:cs="Times New Roman"/>
          <w:color w:val="auto"/>
          <w:kern w:val="0"/>
          <w:sz w:val="28"/>
          <w:szCs w:val="28"/>
        </w:rPr>
      </w:pPr>
      <w:r>
        <w:rPr>
          <w:rFonts w:hint="default" w:ascii="Times New Roman" w:hAnsi="Times New Roman" w:eastAsia="仿宋" w:cs="Times New Roman"/>
          <w:color w:val="auto"/>
          <w:kern w:val="0"/>
          <w:sz w:val="28"/>
          <w:szCs w:val="28"/>
        </w:rPr>
        <w:t>20</w:t>
      </w: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kern w:val="0"/>
          <w:sz w:val="28"/>
          <w:szCs w:val="28"/>
        </w:rPr>
        <w:t>《关于印发江苏省重点环境风险企业整治与防控方案的通知》（苏环委办[2013]9号）；</w:t>
      </w:r>
    </w:p>
    <w:p>
      <w:pPr>
        <w:snapToGrid w:val="0"/>
        <w:spacing w:before="50" w:after="50"/>
        <w:ind w:firstLine="560" w:firstLineChars="200"/>
        <w:rPr>
          <w:rFonts w:hint="default" w:ascii="Times New Roman" w:hAnsi="Times New Roman" w:eastAsia="仿宋" w:cs="Times New Roman"/>
          <w:color w:val="auto"/>
          <w:kern w:val="0"/>
          <w:sz w:val="28"/>
          <w:szCs w:val="28"/>
        </w:rPr>
      </w:pPr>
      <w:r>
        <w:rPr>
          <w:rFonts w:hint="default" w:ascii="Times New Roman" w:hAnsi="Times New Roman" w:eastAsia="仿宋" w:cs="Times New Roman"/>
          <w:color w:val="auto"/>
          <w:kern w:val="0"/>
          <w:sz w:val="28"/>
          <w:szCs w:val="28"/>
        </w:rPr>
        <w:t>21、《关于开展江苏省重点环境风险企业环境安全达标建设工作的通知）》（苏环办[2013]321号）；</w:t>
      </w:r>
    </w:p>
    <w:p>
      <w:pPr>
        <w:snapToGrid w:val="0"/>
        <w:spacing w:line="500" w:lineRule="exact"/>
        <w:ind w:firstLine="560" w:firstLineChars="200"/>
        <w:rPr>
          <w:rFonts w:hint="default" w:ascii="Times New Roman" w:hAnsi="Times New Roman" w:cs="Times New Roman"/>
          <w:color w:val="auto"/>
          <w:sz w:val="28"/>
          <w:szCs w:val="28"/>
        </w:rPr>
      </w:pPr>
      <w:r>
        <w:rPr>
          <w:rFonts w:hint="default" w:ascii="Times New Roman" w:hAnsi="Times New Roman" w:eastAsia="仿宋" w:cs="Times New Roman"/>
          <w:color w:val="auto"/>
          <w:kern w:val="0"/>
          <w:sz w:val="28"/>
          <w:szCs w:val="28"/>
        </w:rPr>
        <w:t>22、《关于进一步做好全省重点环境风险企业环境安全达标建设工作的通知》（苏环办〔2014〕152号）。</w:t>
      </w:r>
      <w:r>
        <w:rPr>
          <w:rFonts w:hint="default" w:ascii="Times New Roman" w:hAnsi="Times New Roman" w:cs="Times New Roman"/>
          <w:color w:val="auto"/>
          <w:sz w:val="28"/>
          <w:szCs w:val="28"/>
        </w:rPr>
        <w:t xml:space="preserve">  </w:t>
      </w:r>
    </w:p>
    <w:p>
      <w:pPr>
        <w:pStyle w:val="6"/>
        <w:spacing w:before="120" w:after="120" w:line="500" w:lineRule="exact"/>
        <w:ind w:left="0"/>
        <w:outlineLvl w:val="2"/>
        <w:rPr>
          <w:rFonts w:hint="default" w:ascii="Times New Roman" w:hAnsi="Times New Roman" w:eastAsia="仿宋" w:cs="Times New Roman"/>
          <w:b/>
          <w:color w:val="auto"/>
          <w:sz w:val="28"/>
          <w:szCs w:val="28"/>
        </w:rPr>
      </w:pPr>
      <w:bookmarkStart w:id="136" w:name="_Toc11662"/>
      <w:bookmarkStart w:id="137" w:name="_Toc525292624"/>
      <w:bookmarkStart w:id="138" w:name="_Toc516651808"/>
      <w:r>
        <w:rPr>
          <w:rFonts w:hint="default" w:ascii="Times New Roman" w:hAnsi="Times New Roman" w:eastAsia="仿宋" w:cs="Times New Roman"/>
          <w:b/>
          <w:color w:val="auto"/>
          <w:sz w:val="28"/>
          <w:szCs w:val="28"/>
        </w:rPr>
        <w:t>1.2.2</w:t>
      </w:r>
      <w:r>
        <w:rPr>
          <w:rFonts w:hint="default" w:ascii="Times New Roman" w:hAnsi="Times New Roman" w:eastAsia="仿宋" w:cs="Times New Roman"/>
          <w:b/>
          <w:color w:val="auto"/>
          <w:sz w:val="28"/>
          <w:szCs w:val="28"/>
          <w:lang w:eastAsia="zh-CN"/>
        </w:rPr>
        <w:t>、</w:t>
      </w:r>
      <w:r>
        <w:rPr>
          <w:rFonts w:hint="default" w:ascii="Times New Roman" w:hAnsi="Times New Roman" w:eastAsia="仿宋" w:cs="Times New Roman"/>
          <w:b/>
          <w:color w:val="auto"/>
          <w:sz w:val="28"/>
          <w:szCs w:val="28"/>
        </w:rPr>
        <w:t>导则、标准</w:t>
      </w:r>
      <w:bookmarkEnd w:id="136"/>
      <w:bookmarkEnd w:id="137"/>
      <w:bookmarkEnd w:id="138"/>
      <w:r>
        <w:rPr>
          <w:rFonts w:hint="default" w:ascii="Times New Roman" w:hAnsi="Times New Roman" w:eastAsia="仿宋" w:cs="Times New Roman"/>
          <w:b/>
          <w:color w:val="auto"/>
          <w:sz w:val="28"/>
          <w:szCs w:val="28"/>
        </w:rPr>
        <w:t xml:space="preserve"> </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1、《危险化学品重大危险源辨识》(GB 18218-2018，2019年3月1日实施)；</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2、《建设项目环境风险评价技术导则》(HJ/T 169-2018，2019年3月1日实施)；</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3、《工业企业设计卫生标准》（GBZ1-2010）；</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4、《建筑设计防火规范》(GB50016-2014)及关于发布国家标准《建筑设计防火规范》局部修订的公告（中华人民共和国住房和城乡建设部公告2018第35号）；</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5、《江苏省突发环境事件应急预案编制导则(试行)企事业单位版》(苏环办[2009]161 号)；</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6、《企业突发环境事件风险分级方法》（HJ941-2018）；</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7、《危险化学品名录》(2016年版)；</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8、《企业突发环境事件风险评估指南》（试行）；</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9、《突发环境事件应急监测技术规范》(HJ589-2010)；</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10、《危险废物贮存污染控制标准》（GB18597-2001）（2013年修订）。</w:t>
      </w:r>
    </w:p>
    <w:p>
      <w:pPr>
        <w:snapToGrid w:val="0"/>
        <w:spacing w:before="50" w:after="50"/>
        <w:ind w:firstLine="560" w:firstLineChars="200"/>
        <w:rPr>
          <w:rFonts w:hint="default"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lang w:val="en-US" w:eastAsia="zh-CN"/>
        </w:rPr>
        <w:t>11、</w:t>
      </w:r>
      <w:r>
        <w:rPr>
          <w:rFonts w:hint="default" w:ascii="Times New Roman" w:hAnsi="Times New Roman" w:eastAsia="仿宋" w:cs="Times New Roman"/>
          <w:color w:val="auto"/>
          <w:sz w:val="28"/>
          <w:szCs w:val="28"/>
          <w:lang w:val="en-US" w:eastAsia="zh-CN"/>
        </w:rPr>
        <w:t>《环境应急资源调查指南》（试行）2019年3月</w:t>
      </w:r>
    </w:p>
    <w:p>
      <w:pPr>
        <w:pStyle w:val="6"/>
        <w:spacing w:before="120" w:after="120" w:line="500" w:lineRule="exact"/>
        <w:ind w:left="0"/>
        <w:outlineLvl w:val="2"/>
        <w:rPr>
          <w:rFonts w:hint="default" w:ascii="Times New Roman" w:hAnsi="Times New Roman" w:eastAsia="仿宋" w:cs="Times New Roman"/>
          <w:b/>
          <w:color w:val="auto"/>
          <w:sz w:val="28"/>
          <w:szCs w:val="28"/>
        </w:rPr>
      </w:pPr>
      <w:bookmarkStart w:id="139" w:name="_Toc516651809"/>
      <w:bookmarkStart w:id="140" w:name="_Toc525292625"/>
      <w:bookmarkStart w:id="141" w:name="_Toc23512"/>
      <w:r>
        <w:rPr>
          <w:rFonts w:hint="default" w:ascii="Times New Roman" w:hAnsi="Times New Roman" w:eastAsia="仿宋" w:cs="Times New Roman"/>
          <w:b/>
          <w:color w:val="auto"/>
          <w:sz w:val="28"/>
          <w:szCs w:val="28"/>
        </w:rPr>
        <w:t>1.2.3</w:t>
      </w:r>
      <w:r>
        <w:rPr>
          <w:rFonts w:hint="default" w:ascii="Times New Roman" w:hAnsi="Times New Roman" w:eastAsia="仿宋" w:cs="Times New Roman"/>
          <w:b/>
          <w:color w:val="auto"/>
          <w:sz w:val="28"/>
          <w:szCs w:val="28"/>
          <w:lang w:eastAsia="zh-CN"/>
        </w:rPr>
        <w:t>、</w:t>
      </w:r>
      <w:r>
        <w:rPr>
          <w:rFonts w:hint="default" w:ascii="Times New Roman" w:hAnsi="Times New Roman" w:eastAsia="仿宋" w:cs="Times New Roman"/>
          <w:b/>
          <w:color w:val="auto"/>
          <w:sz w:val="28"/>
          <w:szCs w:val="28"/>
        </w:rPr>
        <w:t>国家、地方预案及相关专项预案</w:t>
      </w:r>
      <w:bookmarkEnd w:id="139"/>
      <w:bookmarkEnd w:id="140"/>
      <w:bookmarkEnd w:id="141"/>
      <w:r>
        <w:rPr>
          <w:rFonts w:hint="default" w:ascii="Times New Roman" w:hAnsi="Times New Roman" w:eastAsia="仿宋" w:cs="Times New Roman"/>
          <w:b/>
          <w:color w:val="auto"/>
          <w:sz w:val="28"/>
          <w:szCs w:val="28"/>
        </w:rPr>
        <w:t xml:space="preserve"> </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1、《国家突发公共事件总体应急预案》(2006.1.8起施行)；</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2、《国家突发环境事件应急预案》(2014年版)；</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3、《江苏省突发公共事件总体应急预案》(2013年版)；</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4、《江苏省突发环境事件应急预案》（2014年版）；</w:t>
      </w:r>
    </w:p>
    <w:p>
      <w:pPr>
        <w:snapToGrid w:val="0"/>
        <w:spacing w:before="50" w:after="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5、《徐州市人民政府突发事件总体应急预案》（2012年版）；</w:t>
      </w:r>
    </w:p>
    <w:p>
      <w:pPr>
        <w:snapToGrid w:val="0"/>
        <w:spacing w:before="50" w:after="50"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6、《徐州市环境污染事件应急预案》(2015年)；</w:t>
      </w:r>
    </w:p>
    <w:p>
      <w:pPr>
        <w:pStyle w:val="5"/>
        <w:keepNext/>
        <w:keepLines/>
        <w:widowControl w:val="0"/>
        <w:wordWrap/>
        <w:adjustRightInd w:val="0"/>
        <w:snapToGrid w:val="0"/>
        <w:spacing w:before="0" w:beforeAutospacing="0" w:line="360" w:lineRule="auto"/>
        <w:ind w:left="0"/>
        <w:jc w:val="both"/>
        <w:textAlignment w:val="auto"/>
        <w:rPr>
          <w:rFonts w:hint="default" w:ascii="Times New Roman" w:hAnsi="Times New Roman" w:eastAsia="仿宋" w:cs="Times New Roman"/>
          <w:b/>
          <w:color w:val="auto"/>
          <w:sz w:val="30"/>
          <w:szCs w:val="30"/>
        </w:rPr>
      </w:pPr>
      <w:bookmarkStart w:id="142" w:name="_Toc516651810"/>
      <w:bookmarkStart w:id="143" w:name="_Toc525292626"/>
      <w:bookmarkStart w:id="144" w:name="_Toc6630"/>
      <w:r>
        <w:rPr>
          <w:rFonts w:hint="default" w:ascii="Times New Roman" w:hAnsi="Times New Roman" w:eastAsia="仿宋" w:cs="Times New Roman"/>
          <w:b/>
          <w:color w:val="auto"/>
          <w:sz w:val="30"/>
          <w:szCs w:val="30"/>
        </w:rPr>
        <w:t>1.3</w:t>
      </w:r>
      <w:r>
        <w:rPr>
          <w:rFonts w:hint="eastAsia" w:ascii="Times New Roman" w:hAnsi="Times New Roman" w:eastAsia="仿宋" w:cs="Times New Roman"/>
          <w:b/>
          <w:color w:val="auto"/>
          <w:sz w:val="30"/>
          <w:szCs w:val="30"/>
          <w:lang w:eastAsia="zh-CN"/>
        </w:rPr>
        <w:t>、</w:t>
      </w:r>
      <w:r>
        <w:rPr>
          <w:rFonts w:hint="eastAsia" w:ascii="Times New Roman" w:hAnsi="Times New Roman" w:eastAsia="仿宋" w:cs="Times New Roman"/>
          <w:b/>
          <w:color w:val="auto"/>
          <w:sz w:val="30"/>
          <w:szCs w:val="30"/>
        </w:rPr>
        <w:t>应急预案的适用范围</w:t>
      </w:r>
      <w:bookmarkEnd w:id="142"/>
      <w:bookmarkEnd w:id="143"/>
      <w:bookmarkEnd w:id="144"/>
      <w:r>
        <w:rPr>
          <w:rFonts w:hint="default" w:ascii="Times New Roman" w:hAnsi="Times New Roman" w:eastAsia="仿宋" w:cs="Times New Roman"/>
          <w:b/>
          <w:color w:val="auto"/>
          <w:sz w:val="30"/>
          <w:szCs w:val="30"/>
        </w:rPr>
        <w:t xml:space="preserve"> </w:t>
      </w:r>
    </w:p>
    <w:p>
      <w:pPr>
        <w:pStyle w:val="6"/>
        <w:keepNext/>
        <w:keepLines/>
        <w:widowControl w:val="0"/>
        <w:wordWrap/>
        <w:spacing w:before="0" w:beforeAutospacing="0" w:after="0" w:line="360" w:lineRule="auto"/>
        <w:ind w:left="0"/>
        <w:textAlignment w:val="auto"/>
        <w:outlineLvl w:val="2"/>
        <w:rPr>
          <w:rFonts w:hint="default" w:ascii="Times New Roman" w:hAnsi="Times New Roman" w:eastAsia="仿宋" w:cs="Times New Roman"/>
          <w:b/>
          <w:color w:val="auto"/>
          <w:sz w:val="28"/>
          <w:szCs w:val="28"/>
        </w:rPr>
      </w:pPr>
      <w:bookmarkStart w:id="145" w:name="_Toc16234"/>
      <w:bookmarkStart w:id="146" w:name="_Toc525292627"/>
      <w:bookmarkStart w:id="147" w:name="_Toc516651811"/>
      <w:r>
        <w:rPr>
          <w:rFonts w:hint="default" w:ascii="Times New Roman" w:hAnsi="Times New Roman" w:eastAsia="仿宋" w:cs="Times New Roman"/>
          <w:b/>
          <w:color w:val="auto"/>
          <w:sz w:val="28"/>
          <w:szCs w:val="28"/>
        </w:rPr>
        <w:t>1.3.1</w:t>
      </w:r>
      <w:r>
        <w:rPr>
          <w:rFonts w:hint="default" w:ascii="Times New Roman" w:hAnsi="Times New Roman" w:eastAsia="仿宋" w:cs="Times New Roman"/>
          <w:b/>
          <w:color w:val="auto"/>
          <w:sz w:val="28"/>
          <w:szCs w:val="28"/>
          <w:lang w:eastAsia="zh-CN"/>
        </w:rPr>
        <w:t>、</w:t>
      </w:r>
      <w:r>
        <w:rPr>
          <w:rFonts w:hint="default" w:ascii="Times New Roman" w:hAnsi="Times New Roman" w:eastAsia="仿宋" w:cs="Times New Roman"/>
          <w:b/>
          <w:color w:val="auto"/>
          <w:sz w:val="28"/>
          <w:szCs w:val="28"/>
        </w:rPr>
        <w:t>适用范围</w:t>
      </w:r>
      <w:bookmarkEnd w:id="145"/>
      <w:bookmarkEnd w:id="146"/>
      <w:bookmarkEnd w:id="147"/>
    </w:p>
    <w:p>
      <w:pPr>
        <w:widowControl w:val="0"/>
        <w:wordWrap/>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本预案适用于江苏超力建材科技有限公司内人为或不可抗力造成的突发环境事件，主要包括：</w:t>
      </w:r>
    </w:p>
    <w:p>
      <w:pPr>
        <w:widowControl w:val="0"/>
        <w:wordWrap/>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1、原发性环境污染事件</w:t>
      </w:r>
    </w:p>
    <w:p>
      <w:pPr>
        <w:widowControl w:val="0"/>
        <w:wordWrap/>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因自然灾害造成的危及人体健康及公司财产安全的环境污染事件；因人为或不可抗力因素所造成的废气、废水、固废(包括危险废物)、危险物质等环境污染事件。</w:t>
      </w:r>
    </w:p>
    <w:p>
      <w:pPr>
        <w:widowControl w:val="0"/>
        <w:wordWrap/>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2、次生、衍生性环境污染事件</w:t>
      </w:r>
    </w:p>
    <w:p>
      <w:pPr>
        <w:widowControl w:val="0"/>
        <w:wordWrap/>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主要指在生产、经营、贮存、运输、使用和处置过程中因发生爆炸、火灾、大面积泄漏有毒有害物质，或在事故应急救援过程中因处置不当而引发的环境污染事件。</w:t>
      </w:r>
    </w:p>
    <w:p>
      <w:pPr>
        <w:widowControl w:val="0"/>
        <w:wordWrap/>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3、本公司区域以外的环境污染事件所引发的环境应急行动</w:t>
      </w:r>
    </w:p>
    <w:p>
      <w:pPr>
        <w:widowControl w:val="0"/>
        <w:wordWrap/>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主要指环境污染事件不在本公司区域内，但其对环境的污染影响有可能引发本公司的环境污染事件。</w:t>
      </w:r>
    </w:p>
    <w:p>
      <w:pPr>
        <w:pStyle w:val="6"/>
        <w:keepNext/>
        <w:keepLines/>
        <w:widowControl w:val="0"/>
        <w:wordWrap/>
        <w:adjustRightInd/>
        <w:snapToGrid/>
        <w:spacing w:beforeLines="50" w:beforeAutospacing="0" w:after="28" w:line="240" w:lineRule="auto"/>
        <w:ind w:left="0"/>
        <w:textAlignment w:val="auto"/>
        <w:outlineLvl w:val="2"/>
        <w:rPr>
          <w:rFonts w:hint="default" w:ascii="Times New Roman" w:hAnsi="Times New Roman" w:eastAsia="仿宋" w:cs="Times New Roman"/>
          <w:b/>
          <w:color w:val="auto"/>
          <w:sz w:val="28"/>
          <w:szCs w:val="28"/>
        </w:rPr>
      </w:pPr>
      <w:bookmarkStart w:id="148" w:name="_Toc16519"/>
      <w:bookmarkStart w:id="149" w:name="_Toc516651812"/>
      <w:bookmarkStart w:id="150" w:name="_Toc525292628"/>
      <w:r>
        <w:rPr>
          <w:rFonts w:hint="default" w:ascii="Times New Roman" w:hAnsi="Times New Roman" w:eastAsia="仿宋" w:cs="Times New Roman"/>
          <w:b/>
          <w:color w:val="auto"/>
          <w:sz w:val="28"/>
          <w:szCs w:val="28"/>
        </w:rPr>
        <w:t>1.3.</w:t>
      </w:r>
      <w:r>
        <w:rPr>
          <w:rFonts w:hint="eastAsia" w:ascii="Times New Roman" w:hAnsi="Times New Roman" w:eastAsia="仿宋" w:cs="Times New Roman"/>
          <w:b/>
          <w:color w:val="auto"/>
          <w:sz w:val="28"/>
          <w:szCs w:val="28"/>
        </w:rPr>
        <w:t>2</w:t>
      </w:r>
      <w:r>
        <w:rPr>
          <w:rFonts w:hint="default" w:ascii="Times New Roman" w:hAnsi="Times New Roman" w:eastAsia="仿宋" w:cs="Times New Roman"/>
          <w:b/>
          <w:color w:val="auto"/>
          <w:sz w:val="28"/>
          <w:szCs w:val="28"/>
        </w:rPr>
        <w:t>突发环境事件的类型</w:t>
      </w:r>
      <w:bookmarkEnd w:id="148"/>
      <w:bookmarkEnd w:id="149"/>
      <w:bookmarkEnd w:id="150"/>
    </w:p>
    <w:p>
      <w:pPr>
        <w:widowControl w:val="0"/>
        <w:wordWrap/>
        <w:snapToGrid w:val="0"/>
        <w:spacing w:beforeAutospacing="0" w:line="240" w:lineRule="auto"/>
        <w:ind w:firstLine="560" w:firstLineChars="200"/>
        <w:textAlignment w:val="auto"/>
        <w:rPr>
          <w:rFonts w:hint="eastAsia" w:eastAsia="仿宋"/>
          <w:color w:val="auto"/>
          <w:sz w:val="28"/>
          <w:szCs w:val="28"/>
        </w:rPr>
      </w:pPr>
      <w:r>
        <w:rPr>
          <w:rFonts w:hint="eastAsia" w:eastAsia="仿宋"/>
          <w:color w:val="auto"/>
          <w:sz w:val="28"/>
          <w:szCs w:val="28"/>
        </w:rPr>
        <w:t>根据对公司生产、贮运过程中危险和有害因素的分析，公司突发环境事件的类型主要为化学品泄露引发的</w:t>
      </w:r>
      <w:r>
        <w:rPr>
          <w:rFonts w:hint="eastAsia" w:eastAsia="仿宋"/>
          <w:color w:val="auto"/>
          <w:sz w:val="28"/>
          <w:szCs w:val="28"/>
          <w:lang w:eastAsia="zh-CN"/>
        </w:rPr>
        <w:t>环境污染事件及伴生次生的</w:t>
      </w:r>
      <w:r>
        <w:rPr>
          <w:rFonts w:hint="eastAsia" w:eastAsia="仿宋"/>
          <w:color w:val="auto"/>
          <w:sz w:val="28"/>
          <w:szCs w:val="28"/>
        </w:rPr>
        <w:t>火灾、爆炸事件，污染物不达标排放的环境污染事件。</w:t>
      </w:r>
    </w:p>
    <w:p>
      <w:pPr>
        <w:pStyle w:val="5"/>
        <w:keepNext/>
        <w:keepLines/>
        <w:widowControl w:val="0"/>
        <w:wordWrap/>
        <w:adjustRightInd w:val="0"/>
        <w:snapToGrid w:val="0"/>
        <w:spacing w:beforeLines="50" w:beforeAutospacing="0" w:afterLines="50" w:line="240" w:lineRule="auto"/>
        <w:ind w:left="0"/>
        <w:jc w:val="both"/>
        <w:textAlignment w:val="auto"/>
        <w:outlineLvl w:val="1"/>
        <w:rPr>
          <w:rFonts w:hint="default" w:ascii="Times New Roman" w:hAnsi="Times New Roman" w:eastAsia="仿宋" w:cs="Times New Roman"/>
          <w:b/>
          <w:color w:val="auto"/>
          <w:sz w:val="30"/>
          <w:szCs w:val="30"/>
        </w:rPr>
      </w:pPr>
      <w:bookmarkStart w:id="151" w:name="_Toc525292629"/>
      <w:bookmarkStart w:id="152" w:name="_Toc516651813"/>
      <w:bookmarkStart w:id="153" w:name="_Toc30240"/>
      <w:r>
        <w:rPr>
          <w:rFonts w:hint="default" w:ascii="Times New Roman" w:hAnsi="Times New Roman" w:eastAsia="仿宋" w:cs="Times New Roman"/>
          <w:b/>
          <w:color w:val="auto"/>
          <w:sz w:val="30"/>
          <w:szCs w:val="30"/>
        </w:rPr>
        <w:t>1.4 突发环境事件分级标准</w:t>
      </w:r>
      <w:bookmarkEnd w:id="151"/>
      <w:bookmarkEnd w:id="152"/>
      <w:bookmarkEnd w:id="153"/>
      <w:r>
        <w:rPr>
          <w:rFonts w:hint="default" w:ascii="Times New Roman" w:hAnsi="Times New Roman" w:eastAsia="仿宋" w:cs="Times New Roman"/>
          <w:b/>
          <w:color w:val="auto"/>
          <w:sz w:val="30"/>
          <w:szCs w:val="30"/>
        </w:rPr>
        <w:t xml:space="preserve"> </w:t>
      </w:r>
    </w:p>
    <w:p>
      <w:pPr>
        <w:widowControl w:val="0"/>
        <w:wordWrap/>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根据《突发环境事件信息报告办法》(环境保护部第 17 号令)附录规定，突发环境事件分级标准分为特别重大（Ⅰ级）、重大（Ⅱ级）、较大（Ⅲ级）和一般（Ⅳ级）四级。</w:t>
      </w:r>
    </w:p>
    <w:p>
      <w:pPr>
        <w:widowControl w:val="0"/>
        <w:wordWrap/>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（1）特别重大（Ⅰ级）</w:t>
      </w:r>
    </w:p>
    <w:p>
      <w:pPr>
        <w:widowControl w:val="0"/>
        <w:wordWrap/>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因环境污染直接导致10人以上死亡或100人以上中毒的；因环境污染需疏散、转移群众5万人以上的；因环境污染造成直接经济损失1亿元以上的；因环境污染造成区域生态功能丧失或国家重点保护物种灭绝的；因环境污染造成地市级以上城市集中式饮用水水源地取水中断的。</w:t>
      </w:r>
    </w:p>
    <w:p>
      <w:pPr>
        <w:widowControl w:val="0"/>
        <w:wordWrap/>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（2）重大（Ⅱ级）</w:t>
      </w:r>
    </w:p>
    <w:p>
      <w:pPr>
        <w:widowControl w:val="0"/>
        <w:wordWrap/>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因环境污染直接导致3人以上10人以下死亡或50人以上100人以下中毒的；因环境污染需疏散、转移群众1万人以上5万人以下的；因环境污染造成直接经济损失2000万元以上1亿元以下的；因环境污染造成区域生态功能部分丧失或国家重点保护野生动植物种群大批死亡的；因环境污染造成县级城市集中式饮用水水源地取水中断的；重金属污染或危险化学品生产、贮运、使用过程中发生爆炸、泄漏等事件，或因倾倒、堆放、丢弃、遗撒危险废物等造成的突发环境事件发生在国家重点流域、国家级自然保护区、风景名胜区或居民聚集区、医院、学校等敏感区域的；跨省（区、市）界突发环境事件。</w:t>
      </w:r>
    </w:p>
    <w:p>
      <w:pPr>
        <w:widowControl w:val="0"/>
        <w:wordWrap/>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（3）较大（Ⅲ级）</w:t>
      </w:r>
    </w:p>
    <w:p>
      <w:pPr>
        <w:widowControl w:val="0"/>
        <w:wordWrap/>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因环境污染直接导致3人以下死亡或10人以上50人以下中毒的；因环境污染需疏散、转移群众5000人以上1万人以下的；因环境污染造成直接经济损失500万元以上2000万元以下的；因环境污染造成国家重点保护的动植物物种受到破坏的；因环境污染造成乡镇集中式饮用水水源地取水中断的。</w:t>
      </w:r>
    </w:p>
    <w:p>
      <w:pPr>
        <w:widowControl w:val="0"/>
        <w:wordWrap/>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（4）一般（Ⅳ级）</w:t>
      </w:r>
    </w:p>
    <w:p>
      <w:pPr>
        <w:widowControl w:val="0"/>
        <w:wordWrap/>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除特别重大突发环境事件、重大突发环境事件、较大突发环境事件以外的突发环境事件。</w:t>
      </w:r>
    </w:p>
    <w:p>
      <w:pPr>
        <w:widowControl w:val="0"/>
        <w:wordWrap/>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根据《突发环境事件风险评估报告》</w:t>
      </w:r>
      <w:r>
        <w:rPr>
          <w:rFonts w:hint="default" w:ascii="Times New Roman" w:hAnsi="Times New Roman" w:eastAsia="仿宋" w:cs="Times New Roman"/>
          <w:color w:val="auto"/>
          <w:sz w:val="28"/>
          <w:szCs w:val="28"/>
          <w:lang w:eastAsia="zh-CN"/>
        </w:rPr>
        <w:t>江苏超力建材科技有限</w:t>
      </w:r>
      <w:r>
        <w:rPr>
          <w:rFonts w:hint="default" w:ascii="Times New Roman" w:hAnsi="Times New Roman" w:eastAsia="仿宋" w:cs="Times New Roman"/>
          <w:color w:val="auto"/>
          <w:sz w:val="28"/>
          <w:szCs w:val="28"/>
        </w:rPr>
        <w:t>公司</w:t>
      </w:r>
      <w:r>
        <w:rPr>
          <w:rFonts w:hint="default" w:ascii="Times New Roman" w:hAnsi="Times New Roman" w:eastAsia="仿宋" w:cs="Times New Roman"/>
          <w:color w:val="auto"/>
          <w:sz w:val="28"/>
          <w:szCs w:val="28"/>
          <w:lang w:eastAsia="zh-CN"/>
        </w:rPr>
        <w:t>环境风险等级为</w:t>
      </w:r>
      <w:r>
        <w:rPr>
          <w:rFonts w:hint="default" w:ascii="Times New Roman" w:hAnsi="Times New Roman" w:eastAsia="仿宋" w:cs="Times New Roman"/>
          <w:color w:val="auto"/>
          <w:sz w:val="28"/>
          <w:szCs w:val="28"/>
          <w:lang w:val="en-US" w:eastAsia="zh-CN"/>
        </w:rPr>
        <w:t>一般</w:t>
      </w:r>
      <w:r>
        <w:rPr>
          <w:rFonts w:hint="eastAsia" w:ascii="宋体" w:hAnsi="宋体" w:eastAsia="宋体" w:cs="宋体"/>
          <w:color w:val="auto"/>
          <w:sz w:val="28"/>
          <w:szCs w:val="28"/>
          <w:lang w:val="en-US" w:eastAsia="zh-CN"/>
        </w:rPr>
        <w:t>〔</w:t>
      </w:r>
      <w:r>
        <w:rPr>
          <w:rFonts w:hint="default" w:ascii="Times New Roman" w:hAnsi="Times New Roman" w:eastAsia="仿宋" w:cs="Times New Roman"/>
          <w:color w:val="auto"/>
          <w:sz w:val="28"/>
          <w:szCs w:val="28"/>
          <w:lang w:val="en-US" w:eastAsia="zh-CN"/>
        </w:rPr>
        <w:t>一般-气（Q</w:t>
      </w:r>
      <w:r>
        <w:rPr>
          <w:rFonts w:hint="eastAsia" w:ascii="Times New Roman" w:hAnsi="Times New Roman" w:eastAsia="仿宋" w:cs="Times New Roman"/>
          <w:color w:val="auto"/>
          <w:sz w:val="28"/>
          <w:szCs w:val="28"/>
          <w:lang w:val="en-US" w:eastAsia="zh-CN"/>
        </w:rPr>
        <w:t>1-M1-E2</w:t>
      </w:r>
      <w:r>
        <w:rPr>
          <w:rFonts w:hint="default" w:ascii="Times New Roman" w:hAnsi="Times New Roman" w:eastAsia="仿宋" w:cs="Times New Roman"/>
          <w:color w:val="auto"/>
          <w:sz w:val="28"/>
          <w:szCs w:val="28"/>
          <w:lang w:val="en-US" w:eastAsia="zh-CN"/>
        </w:rPr>
        <w:t>）+一般-水（Q</w:t>
      </w:r>
      <w:r>
        <w:rPr>
          <w:rFonts w:hint="eastAsia" w:ascii="Times New Roman" w:hAnsi="Times New Roman" w:eastAsia="仿宋" w:cs="Times New Roman"/>
          <w:color w:val="auto"/>
          <w:sz w:val="28"/>
          <w:szCs w:val="28"/>
          <w:lang w:val="en-US" w:eastAsia="zh-CN"/>
        </w:rPr>
        <w:t>1-M1-E2</w:t>
      </w:r>
      <w:r>
        <w:rPr>
          <w:rFonts w:hint="default" w:ascii="Times New Roman" w:hAnsi="Times New Roman" w:eastAsia="仿宋" w:cs="Times New Roman"/>
          <w:color w:val="auto"/>
          <w:sz w:val="28"/>
          <w:szCs w:val="28"/>
          <w:lang w:val="en-US" w:eastAsia="zh-CN"/>
        </w:rPr>
        <w:t>）</w:t>
      </w:r>
      <w:r>
        <w:rPr>
          <w:rFonts w:hint="eastAsia" w:ascii="宋体" w:hAnsi="宋体" w:eastAsia="宋体" w:cs="宋体"/>
          <w:color w:val="auto"/>
          <w:sz w:val="28"/>
          <w:szCs w:val="28"/>
          <w:lang w:val="en-US" w:eastAsia="zh-CN"/>
        </w:rPr>
        <w:t>〕</w:t>
      </w:r>
      <w:r>
        <w:rPr>
          <w:rFonts w:hint="default" w:ascii="Times New Roman" w:hAnsi="Times New Roman" w:eastAsia="仿宋" w:cs="Times New Roman"/>
          <w:color w:val="auto"/>
          <w:sz w:val="28"/>
          <w:szCs w:val="28"/>
        </w:rPr>
        <w:t>。参考国家突发环境事件分类方法，确定公司可能引发的突发环境事件级别为一般环境事件（Ⅳ级）以下。</w:t>
      </w:r>
    </w:p>
    <w:p>
      <w:pPr>
        <w:pStyle w:val="5"/>
        <w:keepNext/>
        <w:keepLines/>
        <w:widowControl w:val="0"/>
        <w:adjustRightInd w:val="0"/>
        <w:snapToGrid w:val="0"/>
        <w:spacing w:beforeLines="50" w:afterLines="50" w:line="480" w:lineRule="exact"/>
        <w:ind w:left="0"/>
        <w:jc w:val="both"/>
        <w:rPr>
          <w:rFonts w:hint="default" w:ascii="Times New Roman" w:hAnsi="Times New Roman" w:eastAsia="仿宋" w:cs="Times New Roman"/>
          <w:b/>
          <w:color w:val="auto"/>
          <w:sz w:val="30"/>
          <w:szCs w:val="30"/>
        </w:rPr>
      </w:pPr>
      <w:bookmarkStart w:id="154" w:name="_Toc516651814"/>
      <w:bookmarkStart w:id="155" w:name="_Toc7234"/>
      <w:bookmarkStart w:id="156" w:name="_Toc525292630"/>
      <w:r>
        <w:rPr>
          <w:rFonts w:hint="default" w:ascii="Times New Roman" w:hAnsi="Times New Roman" w:eastAsia="仿宋" w:cs="Times New Roman"/>
          <w:b/>
          <w:color w:val="auto"/>
          <w:sz w:val="30"/>
          <w:szCs w:val="30"/>
        </w:rPr>
        <w:t>1.5 应急预案体系</w:t>
      </w:r>
      <w:bookmarkEnd w:id="154"/>
      <w:bookmarkEnd w:id="155"/>
      <w:bookmarkEnd w:id="156"/>
      <w:r>
        <w:rPr>
          <w:rFonts w:hint="default" w:ascii="Times New Roman" w:hAnsi="Times New Roman" w:eastAsia="仿宋" w:cs="Times New Roman"/>
          <w:b/>
          <w:color w:val="auto"/>
          <w:sz w:val="30"/>
          <w:szCs w:val="30"/>
        </w:rPr>
        <w:t xml:space="preserve"> </w:t>
      </w:r>
    </w:p>
    <w:p>
      <w:pPr>
        <w:snapToGrid w:val="0"/>
        <w:spacing w:line="240" w:lineRule="auto"/>
        <w:ind w:firstLine="482"/>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本预案是根据有关法律、法规、规章和各级人民政府及其有关部门制定应急预案的编制要求而制定，本预案属于《徐州市突发环境事件应急预案》、《</w:t>
      </w:r>
      <w:r>
        <w:rPr>
          <w:rFonts w:hint="default" w:ascii="Times New Roman" w:hAnsi="Times New Roman" w:eastAsia="仿宋" w:cs="Times New Roman"/>
          <w:color w:val="auto"/>
          <w:sz w:val="28"/>
          <w:szCs w:val="28"/>
          <w:lang w:eastAsia="zh-CN"/>
        </w:rPr>
        <w:t>徐州贾汪区突发环境事件总体应急预案</w:t>
      </w:r>
      <w:r>
        <w:rPr>
          <w:rFonts w:hint="default" w:ascii="Times New Roman" w:hAnsi="Times New Roman" w:eastAsia="仿宋" w:cs="Times New Roman"/>
          <w:color w:val="auto"/>
          <w:sz w:val="28"/>
          <w:szCs w:val="28"/>
          <w:lang w:val="en-US" w:eastAsia="zh-CN"/>
        </w:rPr>
        <w:t>》构成体系的组成部分，是《徐州市突发环境事件应急预案》、《</w:t>
      </w:r>
      <w:r>
        <w:rPr>
          <w:rFonts w:hint="default" w:ascii="Times New Roman" w:hAnsi="Times New Roman" w:eastAsia="仿宋" w:cs="Times New Roman"/>
          <w:color w:val="auto"/>
          <w:sz w:val="28"/>
          <w:szCs w:val="28"/>
          <w:lang w:eastAsia="zh-CN"/>
        </w:rPr>
        <w:t>徐州市贾汪区突发环境事件总体应急预案</w:t>
      </w:r>
      <w:r>
        <w:rPr>
          <w:rFonts w:hint="default" w:ascii="Times New Roman" w:hAnsi="Times New Roman" w:eastAsia="仿宋" w:cs="Times New Roman"/>
          <w:color w:val="auto"/>
          <w:sz w:val="28"/>
          <w:szCs w:val="28"/>
          <w:lang w:val="en-US" w:eastAsia="zh-CN"/>
        </w:rPr>
        <w:t>》在公司层面上的具体体现。经过环境风险评估，公司环境风险等级为一般〔一般-气（Q1-M1-E2）+一般-水（Q1-M1-E2）〕；当公司发生突发环境事件对本公司外部环境产生影响时或事故超出公司处理能力时，公司向工业园区、贾汪生态环境局部门请求支援，并建议</w:t>
      </w:r>
      <w:r>
        <w:rPr>
          <w:rFonts w:hint="default" w:ascii="Times New Roman" w:hAnsi="Times New Roman" w:eastAsia="仿宋" w:cs="Times New Roman"/>
          <w:color w:val="auto"/>
          <w:sz w:val="28"/>
          <w:szCs w:val="28"/>
          <w:lang w:eastAsia="zh-CN"/>
        </w:rPr>
        <w:t>贾汪区</w:t>
      </w:r>
      <w:r>
        <w:rPr>
          <w:rFonts w:hint="default" w:ascii="Times New Roman" w:hAnsi="Times New Roman" w:eastAsia="仿宋" w:cs="Times New Roman"/>
          <w:color w:val="auto"/>
          <w:sz w:val="28"/>
          <w:szCs w:val="28"/>
          <w:lang w:val="en-US" w:eastAsia="zh-CN"/>
        </w:rPr>
        <w:t xml:space="preserve">启动突发环境事件应急预案IV级；上级单位介入应急救援，公司内部各应急组织机构无条件听从调配，按照要求和能力配置应急救援人员、队伍、装备、物资等，与外部相关部门共享区域应急资源，提高共同应对突发环境事件的能力和水平。 </w:t>
      </w:r>
    </w:p>
    <w:p>
      <w:pPr>
        <w:snapToGrid w:val="0"/>
        <w:spacing w:line="240" w:lineRule="auto"/>
        <w:ind w:firstLine="482"/>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 xml:space="preserve">当公司发生安全事故，可能会对环境产生影响时，则由应急总指挥宣布启动《江苏超力建材科技有限公司突发环境事件应急预案》，在开展安全事故应急救援的同时，采用环境风险应急救援措施，将对环境的损害降至最低。 </w:t>
      </w:r>
    </w:p>
    <w:p>
      <w:pPr>
        <w:snapToGrid w:val="0"/>
        <w:spacing w:line="240" w:lineRule="auto"/>
        <w:ind w:firstLine="482"/>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本预案与徐州市突发环境事件应急预案、贾汪区突发环境事件应急预案江苏超力建材科技有限公司生产安全事故应急预案相互衔接，互为补充，共同组成应对突发事件的完整体系。应急预案体系组成见图1.5-1。</w:t>
      </w:r>
    </w:p>
    <w:p>
      <w:pPr>
        <w:pStyle w:val="29"/>
        <w:rPr>
          <w:rFonts w:hint="default" w:ascii="Times New Roman" w:hAnsi="Times New Roman" w:eastAsia="仿宋" w:cs="Times New Roman"/>
          <w:color w:val="auto"/>
          <w:sz w:val="28"/>
          <w:szCs w:val="28"/>
          <w:lang w:val="en-US" w:eastAsia="zh-CN"/>
        </w:rPr>
      </w:pPr>
    </w:p>
    <w:p>
      <w:pPr>
        <w:pStyle w:val="29"/>
        <w:rPr>
          <w:rFonts w:hint="default" w:ascii="Times New Roman" w:hAnsi="Times New Roman" w:eastAsia="仿宋" w:cs="Times New Roman"/>
          <w:color w:val="auto"/>
          <w:sz w:val="28"/>
          <w:szCs w:val="28"/>
          <w:lang w:val="en-US" w:eastAsia="zh-CN"/>
        </w:rPr>
      </w:pPr>
    </w:p>
    <w:p>
      <w:pPr>
        <w:pStyle w:val="29"/>
        <w:rPr>
          <w:rFonts w:hint="default" w:ascii="Times New Roman" w:hAnsi="Times New Roman" w:eastAsia="仿宋" w:cs="Times New Roman"/>
          <w:color w:val="auto"/>
          <w:sz w:val="28"/>
          <w:szCs w:val="28"/>
          <w:lang w:val="en-US" w:eastAsia="zh-CN"/>
        </w:rPr>
      </w:pPr>
    </w:p>
    <w:p>
      <w:pPr>
        <w:pStyle w:val="29"/>
        <w:rPr>
          <w:rFonts w:hint="default" w:ascii="Times New Roman" w:hAnsi="Times New Roman" w:eastAsia="仿宋" w:cs="Times New Roman"/>
          <w:color w:val="auto"/>
          <w:sz w:val="28"/>
          <w:szCs w:val="28"/>
          <w:lang w:val="en-US" w:eastAsia="zh-CN"/>
        </w:rPr>
      </w:pPr>
    </w:p>
    <w:p>
      <w:pPr>
        <w:pStyle w:val="29"/>
        <w:rPr>
          <w:color w:val="auto"/>
        </w:rPr>
      </w:pPr>
      <w:r>
        <w:rPr>
          <w:rFonts w:hint="eastAsia" w:ascii="Times New Roman" w:hAnsi="Times New Roman" w:eastAsia="仿宋" w:cs="Times New Roman"/>
          <w:color w:val="auto"/>
          <w:sz w:val="28"/>
          <w:szCs w:val="28"/>
          <w:lang w:val="en-US" w:eastAsia="zh-CN"/>
        </w:rPr>
        <w:t xml:space="preserve"> </w:t>
      </w:r>
      <w:r>
        <w:rPr>
          <w:rFonts w:ascii="Calibri" w:hAnsi="Calibri" w:eastAsia="宋体" w:cs="黑体"/>
          <w:color w:val="auto"/>
          <w:kern w:val="2"/>
          <w:sz w:val="21"/>
          <w:szCs w:val="22"/>
          <w:lang w:val="en-US" w:eastAsia="zh-CN" w:bidi="ar-SA"/>
        </w:rPr>
        <w:pict>
          <v:shape id="自选图形 242" o:spid="_x0000_s1150" o:spt="32" type="#_x0000_t32" style="position:absolute;left:0pt;margin-left:138.9pt;margin-top:20613.6pt;height:0.55pt;width:202.5pt;z-index:251752448;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p>
    <w:p>
      <w:pPr>
        <w:tabs>
          <w:tab w:val="left" w:pos="1650"/>
        </w:tabs>
        <w:jc w:val="center"/>
        <w:rPr>
          <w:color w:val="auto"/>
        </w:rPr>
      </w:pPr>
      <w:r>
        <w:rPr>
          <w:rFonts w:ascii="Calibri" w:hAnsi="Calibri" w:eastAsia="宋体" w:cs="黑体"/>
          <w:color w:val="auto"/>
          <w:kern w:val="2"/>
          <w:sz w:val="21"/>
          <w:szCs w:val="22"/>
          <w:lang w:val="en-US" w:eastAsia="zh-CN" w:bidi="ar-SA"/>
        </w:rPr>
        <w:pict>
          <v:shape id="自选图形 248" o:spid="_x0000_s1156" o:spt="32" type="#_x0000_t32" style="position:absolute;left:0pt;margin-left:138.9pt;margin-top:20598pt;height:0.55pt;width:202.5pt;z-index:251751424;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ascii="Calibri" w:hAnsi="Calibri" w:eastAsia="宋体" w:cs="黑体"/>
          <w:color w:val="auto"/>
          <w:kern w:val="2"/>
          <w:sz w:val="21"/>
          <w:szCs w:val="22"/>
          <w:lang w:val="en-US" w:eastAsia="zh-CN" w:bidi="ar-SA"/>
        </w:rPr>
        <w:pict>
          <v:shape id="自选图形 249" o:spid="_x0000_s1157" o:spt="32" type="#_x0000_t32" style="position:absolute;left:0pt;margin-left:138.9pt;margin-top:20598pt;height:0.55pt;width:202.5pt;z-index:251753472;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p>
    <w:p>
      <w:pPr>
        <w:jc w:val="center"/>
        <w:rPr>
          <w:color w:val="auto"/>
        </w:rPr>
      </w:pPr>
      <w:r>
        <w:rPr>
          <w:color w:val="auto"/>
          <w:sz w:val="21"/>
        </w:rPr>
        <w:pict>
          <v:line id="_x0000_s1283" o:spid="_x0000_s1283" o:spt="20" style="position:absolute;left:0pt;margin-left:278.45pt;margin-top:14.25pt;height:0.05pt;width:30.9pt;z-index:252068864;mso-width-relative:page;mso-height-relative:page;" filled="f" stroked="t" coordsize="21600,21600">
            <v:path arrowok="t"/>
            <v:fill on="f" focussize="0,0"/>
            <v:stroke weight="1.25pt" color="#000000" endarrow="block"/>
            <v:imagedata o:title=""/>
            <o:lock v:ext="edit" aspectratio="f"/>
          </v:line>
        </w:pict>
      </w:r>
      <w:r>
        <w:rPr>
          <w:color w:val="auto"/>
          <w:sz w:val="21"/>
        </w:rPr>
        <w:pict>
          <v:line id="_x0000_s1282" o:spid="_x0000_s1282" o:spt="20" style="position:absolute;left:0pt;flip:x;margin-left:170.8pt;margin-top:14.45pt;height:0.05pt;width:19.7pt;z-index:251863040;mso-width-relative:page;mso-height-relative:page;" fillcolor="#FFFFFF" filled="t" stroked="t" coordsize="21600,21600">
            <v:path arrowok="t"/>
            <v:fill type="gradient" on="t" color2="#FFFFFF" angle="90" focus="0%" focussize="0f,0f" focusposition="0f,0f">
              <o:fill type="gradientUnscaled" v:ext="backwardCompatible"/>
            </v:fill>
            <v:stroke weight="1.25pt" color="#000000" endarrow="block"/>
            <v:imagedata o:title=""/>
            <o:lock v:ext="edit" aspectratio="f"/>
          </v:line>
        </w:pict>
      </w:r>
      <w:r>
        <w:rPr>
          <w:rFonts w:ascii="Calibri" w:hAnsi="Calibri" w:eastAsia="宋体" w:cs="黑体"/>
          <w:color w:val="auto"/>
          <w:kern w:val="2"/>
          <w:sz w:val="21"/>
          <w:szCs w:val="22"/>
          <w:lang w:val="en-US" w:eastAsia="zh-CN" w:bidi="ar-SA"/>
        </w:rPr>
        <w:pict>
          <v:rect id="文本框 291" o:spid="_x0000_s1147" o:spt="1" style="position:absolute;left:0pt;margin-left:309.1pt;margin-top:3.6pt;height:18.75pt;width:120.25pt;z-index:251792384;mso-width-relative:page;mso-height-relative:page;" fillcolor="#FFFFFF" filled="t" stroked="t" coordsize="21600,21600">
            <v:path/>
            <v:fill on="t" color2="#FFFFFF" focussize="0,0"/>
            <v:stroke color="#000000" joinstyle="miter"/>
            <v:imagedata o:title=""/>
            <o:lock v:ext="edit" aspectratio="f"/>
            <v:textbox>
              <w:txbxContent>
                <w:p>
                  <w:pPr>
                    <w:pStyle w:val="41"/>
                    <w:snapToGrid w:val="0"/>
                    <w:spacing w:line="240" w:lineRule="auto"/>
                    <w:ind w:firstLine="420" w:firstLineChars="200"/>
                    <w:rPr>
                      <w:rFonts w:ascii="仿宋" w:hAnsi="仿宋" w:eastAsia="仿宋"/>
                    </w:rPr>
                  </w:pPr>
                  <w:r>
                    <w:rPr>
                      <w:rFonts w:hint="eastAsia" w:ascii="仿宋" w:hAnsi="仿宋" w:eastAsia="仿宋"/>
                    </w:rPr>
                    <w:t>公司内部应急预案</w:t>
                  </w:r>
                </w:p>
              </w:txbxContent>
            </v:textbox>
          </v:rect>
        </w:pict>
      </w:r>
      <w:r>
        <w:rPr>
          <w:rFonts w:hint="default" w:ascii="Times New Roman" w:hAnsi="Times New Roman" w:eastAsia="仿宋" w:cs="Times New Roman"/>
          <w:color w:val="auto"/>
          <w:kern w:val="0"/>
          <w:sz w:val="24"/>
          <w:szCs w:val="24"/>
        </w:rPr>
        <w:pict>
          <v:rect id="文本框 290" o:spid="_x0000_s1145" o:spt="1" style="position:absolute;left:0pt;margin-left:190.15pt;margin-top:2.55pt;height:22.3pt;width:88.2pt;z-index:251790336;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snapToGrid w:val="0"/>
                    <w:jc w:val="center"/>
                    <w:rPr>
                      <w:rFonts w:ascii="仿宋" w:hAnsi="仿宋" w:eastAsia="仿宋"/>
                      <w:sz w:val="21"/>
                      <w:szCs w:val="21"/>
                    </w:rPr>
                  </w:pPr>
                  <w:r>
                    <w:rPr>
                      <w:rFonts w:hint="eastAsia" w:ascii="仿宋" w:hAnsi="仿宋" w:eastAsia="仿宋"/>
                      <w:sz w:val="21"/>
                      <w:szCs w:val="21"/>
                    </w:rPr>
                    <w:t>应急预案体系</w:t>
                  </w:r>
                </w:p>
              </w:txbxContent>
            </v:textbox>
          </v:rect>
        </w:pict>
      </w:r>
      <w:r>
        <w:rPr>
          <w:rFonts w:hint="default" w:ascii="Times New Roman" w:hAnsi="Times New Roman" w:eastAsia="仿宋" w:cs="Times New Roman"/>
          <w:color w:val="auto"/>
          <w:kern w:val="0"/>
          <w:sz w:val="24"/>
          <w:szCs w:val="24"/>
        </w:rPr>
        <w:pict>
          <v:rect id="文本框 289" o:spid="_x0000_s1146" o:spt="1" style="position:absolute;left:0pt;margin-left:58.15pt;margin-top:1.1pt;height:24.05pt;width:113.6pt;z-index:251791360;mso-width-relative:page;mso-height-relative:page;" fillcolor="#FFFFFF" filled="t" stroked="t" coordsize="21600,21600">
            <v:path/>
            <v:fill on="t" color2="#FFFFFF" focussize="0,0"/>
            <v:stroke color="#000000" joinstyle="miter"/>
            <v:imagedata o:title=""/>
            <o:lock v:ext="edit" aspectratio="f"/>
            <v:textbox>
              <w:txbxContent>
                <w:p>
                  <w:pPr>
                    <w:jc w:val="center"/>
                    <w:rPr>
                      <w:rFonts w:ascii="仿宋" w:hAnsi="仿宋" w:eastAsia="仿宋"/>
                      <w:sz w:val="21"/>
                      <w:szCs w:val="21"/>
                    </w:rPr>
                  </w:pPr>
                  <w:r>
                    <w:rPr>
                      <w:rFonts w:hint="eastAsia" w:ascii="仿宋" w:hAnsi="仿宋" w:eastAsia="仿宋"/>
                      <w:sz w:val="21"/>
                      <w:szCs w:val="21"/>
                    </w:rPr>
                    <w:t>外部相关联应急预案</w:t>
                  </w:r>
                </w:p>
              </w:txbxContent>
            </v:textbox>
          </v:rect>
        </w:pict>
      </w:r>
      <w:r>
        <w:rPr>
          <w:rFonts w:ascii="Calibri" w:hAnsi="Calibri" w:eastAsia="宋体" w:cs="黑体"/>
          <w:color w:val="auto"/>
          <w:kern w:val="2"/>
          <w:sz w:val="21"/>
          <w:szCs w:val="22"/>
          <w:lang w:val="en-US" w:eastAsia="zh-CN" w:bidi="ar-SA"/>
        </w:rPr>
        <w:pict>
          <v:shape id="自选图形 250" o:spid="_x0000_s1158" o:spt="32" type="#_x0000_t32" style="position:absolute;left:0pt;margin-left:138.9pt;margin-top:20582.4pt;height:0.55pt;width:202.5pt;z-index:251748352;mso-width-relative:page;mso-height-relative:page;" fillcolor="#FFFFFF" filled="t" o:preferrelative="t" stroked="t" coordsize="21600,21600">
            <v:path arrowok="t"/>
            <v:fill on="t" focussize="0,0"/>
            <v:stroke color="#000000" color2="#FFFFFF" miterlimit="2"/>
            <v:imagedata gain="65536f" blacklevel="0f" gamma="0" o:title=""/>
            <o:lock v:ext="edit" position="f" selection="f" grouping="f" rotation="f" cropping="f" text="f" aspectratio="f"/>
          </v:shape>
        </w:pict>
      </w:r>
    </w:p>
    <w:p>
      <w:pPr>
        <w:tabs>
          <w:tab w:val="left" w:pos="5656"/>
        </w:tabs>
        <w:jc w:val="center"/>
        <w:rPr>
          <w:color w:val="auto"/>
        </w:rPr>
      </w:pPr>
      <w:r>
        <w:rPr>
          <w:color w:val="auto"/>
          <w:sz w:val="21"/>
        </w:rPr>
        <w:pict>
          <v:line id="_x0000_s1295" o:spid="_x0000_s1295" o:spt="20" style="position:absolute;left:0pt;margin-left:368.9pt;margin-top:7.5pt;height:169.7pt;width:0.95pt;z-index:327400448;mso-width-relative:page;mso-height-relative:page;" filled="f" stroked="t" coordsize="21600,21600">
            <v:path arrowok="t"/>
            <v:fill on="f" focussize="0,0"/>
            <v:stroke weight="1.25pt" color="#000000" endarrow="block"/>
            <v:imagedata o:title=""/>
            <o:lock v:ext="edit" aspectratio="f"/>
          </v:line>
        </w:pict>
      </w:r>
      <w:r>
        <w:rPr>
          <w:color w:val="auto"/>
          <w:sz w:val="21"/>
        </w:rPr>
        <w:pict>
          <v:line id="_x0000_s1284" o:spid="_x0000_s1284" o:spt="20" style="position:absolute;left:0pt;flip:x;margin-left:122.35pt;margin-top:9.9pt;height:17.85pt;width:0.05pt;z-index:252274688;mso-width-relative:page;mso-height-relative:page;" filled="f" stroked="t" coordsize="21600,21600">
            <v:path arrowok="t"/>
            <v:fill on="f" focussize="0,0"/>
            <v:stroke weight="1.25pt" color="#000000" endarrow="block"/>
            <v:imagedata o:title=""/>
            <o:lock v:ext="edit" aspectratio="f"/>
          </v:line>
        </w:pict>
      </w:r>
    </w:p>
    <w:p>
      <w:pPr>
        <w:jc w:val="center"/>
        <w:rPr>
          <w:color w:val="auto"/>
        </w:rPr>
      </w:pPr>
      <w:r>
        <w:rPr>
          <w:color w:val="auto"/>
          <w:sz w:val="21"/>
        </w:rPr>
        <w:pict>
          <v:line id="_x0000_s1286" o:spid="_x0000_s1286" o:spt="20" style="position:absolute;left:0pt;flip:x;margin-left:195.75pt;margin-top:12.4pt;height:38pt;width:0.05pt;z-index:253303808;mso-width-relative:page;mso-height-relative:page;" filled="f" stroked="t" coordsize="21600,21600">
            <v:path arrowok="t"/>
            <v:fill on="f" focussize="0,0"/>
            <v:stroke weight="1.25pt" color="#000000" endarrow="block"/>
            <v:imagedata o:title=""/>
            <o:lock v:ext="edit" aspectratio="f"/>
          </v:line>
        </w:pict>
      </w:r>
      <w:r>
        <w:rPr>
          <w:color w:val="auto"/>
          <w:sz w:val="21"/>
        </w:rPr>
        <w:pict>
          <v:line id="_x0000_s1285" o:spid="_x0000_s1285" o:spt="20" style="position:absolute;left:0pt;flip:x;margin-left:44.05pt;margin-top:11.65pt;height:38pt;width:0.05pt;z-index:252480512;mso-width-relative:page;mso-height-relative:page;" filled="f" stroked="t" coordsize="21600,21600">
            <v:path arrowok="t"/>
            <v:fill on="f" focussize="0,0"/>
            <v:stroke weight="1.25pt" color="#000000" endarrow="block"/>
            <v:imagedata o:title=""/>
            <o:lock v:ext="edit" aspectratio="f"/>
          </v:line>
        </w:pict>
      </w:r>
      <w:r>
        <w:rPr>
          <w:rFonts w:ascii="Calibri" w:hAnsi="Calibri" w:eastAsia="宋体" w:cs="黑体"/>
          <w:color w:val="auto"/>
          <w:kern w:val="2"/>
          <w:sz w:val="24"/>
          <w:szCs w:val="22"/>
          <w:lang w:val="en-US" w:eastAsia="zh-CN" w:bidi="ar-SA"/>
        </w:rPr>
        <w:pict>
          <v:line id="直线 246" o:spid="_x0000_s1154" o:spt="20" style="position:absolute;left:0pt;margin-left:43.85pt;margin-top:11.4pt;height:0.55pt;width:152.35pt;z-index:251781120;mso-width-relative:page;mso-height-relative:page;" filled="f" stroked="t" coordsize="21600,21600">
            <v:path arrowok="t"/>
            <v:fill on="f" focussize="0,0"/>
            <v:stroke color="#000000"/>
            <v:imagedata o:title=""/>
            <o:lock v:ext="edit" aspectratio="f"/>
          </v:line>
        </w:pict>
      </w:r>
      <w:r>
        <w:rPr>
          <w:rFonts w:ascii="Calibri" w:hAnsi="Calibri" w:eastAsia="宋体" w:cs="黑体"/>
          <w:color w:val="auto"/>
          <w:kern w:val="2"/>
          <w:sz w:val="21"/>
          <w:szCs w:val="22"/>
          <w:lang w:val="en-US" w:eastAsia="zh-CN" w:bidi="ar-SA"/>
        </w:rPr>
        <w:pict>
          <v:shape id="自选图形 256" o:spid="_x0000_s1164" o:spt="32" type="#_x0000_t32" style="position:absolute;left:0pt;margin-left:138.9pt;margin-top:20551.2pt;height:0.55pt;width:202.5pt;z-index:251759616;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ascii="Calibri" w:hAnsi="Calibri" w:eastAsia="宋体" w:cs="黑体"/>
          <w:color w:val="auto"/>
          <w:kern w:val="2"/>
          <w:sz w:val="21"/>
          <w:szCs w:val="22"/>
          <w:lang w:val="en-US" w:eastAsia="zh-CN" w:bidi="ar-SA"/>
        </w:rPr>
        <w:pict>
          <v:shape id="自选图形 257" o:spid="_x0000_s1165" o:spt="32" type="#_x0000_t32" style="position:absolute;left:0pt;margin-left:138.9pt;margin-top:20551.2pt;height:0.55pt;width:202.5pt;z-index:251763712;mso-width-relative:page;mso-height-relative:page;" fillcolor="#FFFFFF" filled="t" o:preferrelative="t" stroked="t" coordsize="21600,21600">
            <v:path arrowok="t"/>
            <v:fill on="t" focussize="0,0"/>
            <v:stroke color="#000000" color2="#FFFFFF" miterlimit="2"/>
            <v:imagedata gain="65536f" blacklevel="0f" gamma="0" o:title=""/>
            <o:lock v:ext="edit" position="f" selection="f" grouping="f" rotation="f" cropping="f" text="f" aspectratio="f"/>
          </v:shape>
        </w:pict>
      </w:r>
      <w:r>
        <w:rPr>
          <w:rFonts w:ascii="Calibri" w:hAnsi="Calibri" w:eastAsia="宋体" w:cs="黑体"/>
          <w:color w:val="auto"/>
          <w:kern w:val="2"/>
          <w:sz w:val="21"/>
          <w:szCs w:val="22"/>
          <w:lang w:val="en-US" w:eastAsia="zh-CN" w:bidi="ar-SA"/>
        </w:rPr>
        <w:pict>
          <v:shape id="自选图形 258" o:spid="_x0000_s1166" o:spt="32" type="#_x0000_t32" style="position:absolute;left:0pt;margin-left:138.9pt;margin-top:20551.2pt;height:0.55pt;width:202.5pt;z-index:251754496;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p>
    <w:p>
      <w:pPr>
        <w:jc w:val="center"/>
        <w:rPr>
          <w:color w:val="auto"/>
        </w:rPr>
      </w:pPr>
    </w:p>
    <w:p>
      <w:pPr>
        <w:tabs>
          <w:tab w:val="left" w:pos="6225"/>
        </w:tabs>
        <w:jc w:val="center"/>
        <w:rPr>
          <w:color w:val="auto"/>
        </w:rPr>
      </w:pPr>
      <w:r>
        <w:rPr>
          <w:rFonts w:ascii="Calibri" w:hAnsi="Calibri" w:eastAsia="宋体" w:cs="黑体"/>
          <w:color w:val="auto"/>
          <w:kern w:val="2"/>
          <w:sz w:val="21"/>
          <w:szCs w:val="22"/>
          <w:lang w:val="en-US" w:eastAsia="zh-CN" w:bidi="ar-SA"/>
        </w:rPr>
        <w:pict>
          <v:shape id="自选图形 261" o:spid="_x0000_s1169" o:spt="32" type="#_x0000_t32" style="position:absolute;left:0pt;margin-left:138.9pt;margin-top:20520pt;height:0.55pt;width:202.5pt;z-index:251758592;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p>
    <w:p>
      <w:pPr>
        <w:jc w:val="center"/>
        <w:rPr>
          <w:color w:val="auto"/>
        </w:rPr>
      </w:pPr>
      <w:r>
        <w:rPr>
          <w:rFonts w:ascii="Calibri" w:hAnsi="Calibri" w:eastAsia="宋体" w:cs="黑体"/>
          <w:color w:val="auto"/>
          <w:kern w:val="2"/>
          <w:sz w:val="21"/>
          <w:szCs w:val="22"/>
          <w:lang w:val="en-US" w:eastAsia="zh-CN" w:bidi="ar-SA"/>
        </w:rPr>
        <w:pict>
          <v:rect id="文本框 262" o:spid="_x0000_s1170" o:spt="1" style="position:absolute;left:0pt;margin-left:129.4pt;margin-top:3.45pt;height:33.15pt;width:107.25pt;z-index:251745280;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pStyle w:val="43"/>
                    <w:snapToGrid w:val="0"/>
                    <w:spacing w:line="240" w:lineRule="auto"/>
                    <w:rPr>
                      <w:rFonts w:ascii="仿宋" w:hAnsi="仿宋" w:eastAsia="仿宋"/>
                    </w:rPr>
                  </w:pPr>
                  <w:r>
                    <w:rPr>
                      <w:rFonts w:hint="eastAsia" w:ascii="仿宋" w:hAnsi="仿宋" w:eastAsia="仿宋"/>
                    </w:rPr>
                    <w:t>徐州市突发环境事件应急预案</w:t>
                  </w:r>
                </w:p>
                <w:p>
                  <w:pPr>
                    <w:pStyle w:val="44"/>
                    <w:snapToGrid w:val="0"/>
                    <w:spacing w:line="240" w:lineRule="auto"/>
                    <w:rPr>
                      <w:rFonts w:ascii="仿宋" w:hAnsi="仿宋" w:eastAsia="仿宋"/>
                    </w:rPr>
                  </w:pPr>
                </w:p>
              </w:txbxContent>
            </v:textbox>
          </v:rect>
        </w:pict>
      </w:r>
      <w:r>
        <w:rPr>
          <w:rFonts w:ascii="Calibri" w:hAnsi="Calibri" w:eastAsia="宋体" w:cs="黑体"/>
          <w:color w:val="auto"/>
          <w:kern w:val="2"/>
          <w:sz w:val="21"/>
          <w:szCs w:val="22"/>
          <w:lang w:val="en-US" w:eastAsia="zh-CN" w:bidi="ar-SA"/>
        </w:rPr>
        <w:pict>
          <v:rect id="文本框 263" o:spid="_x0000_s1171" o:spt="1" style="position:absolute;left:0pt;margin-left:-10.3pt;margin-top:3.45pt;height:34.75pt;width:111.1pt;z-index:251744256;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pStyle w:val="45"/>
                    <w:snapToGrid w:val="0"/>
                    <w:spacing w:line="240" w:lineRule="auto"/>
                    <w:rPr>
                      <w:rFonts w:ascii="仿宋" w:hAnsi="仿宋" w:eastAsia="仿宋"/>
                    </w:rPr>
                  </w:pPr>
                  <w:r>
                    <w:rPr>
                      <w:rFonts w:hint="eastAsia" w:ascii="仿宋" w:hAnsi="仿宋" w:eastAsia="仿宋"/>
                    </w:rPr>
                    <w:t>徐州市突发公共事件总体应急预案</w:t>
                  </w:r>
                </w:p>
                <w:p>
                  <w:pPr>
                    <w:pStyle w:val="46"/>
                    <w:snapToGrid w:val="0"/>
                    <w:spacing w:line="240" w:lineRule="auto"/>
                    <w:rPr>
                      <w:rFonts w:ascii="仿宋" w:hAnsi="仿宋" w:eastAsia="仿宋"/>
                    </w:rPr>
                  </w:pPr>
                </w:p>
              </w:txbxContent>
            </v:textbox>
          </v:rect>
        </w:pict>
      </w:r>
    </w:p>
    <w:p>
      <w:pPr>
        <w:jc w:val="center"/>
        <w:rPr>
          <w:color w:val="auto"/>
        </w:rPr>
      </w:pPr>
      <w:r>
        <w:rPr>
          <w:color w:val="auto"/>
          <w:sz w:val="21"/>
        </w:rPr>
        <w:pict>
          <v:line id="_x0000_s1287" o:spid="_x0000_s1287" o:spt="20" style="position:absolute;left:0pt;margin-left:101.1pt;margin-top:3.9pt;height:0.05pt;width:29pt;z-index:254127104;mso-width-relative:page;mso-height-relative:page;" filled="f" stroked="t" coordsize="21600,21600">
            <v:path arrowok="t"/>
            <v:fill on="f" focussize="0,0"/>
            <v:stroke weight="1.25pt" color="#000000" endarrow="block"/>
            <v:imagedata o:title=""/>
            <o:lock v:ext="edit" aspectratio="f"/>
          </v:line>
        </w:pict>
      </w:r>
      <w:r>
        <w:rPr>
          <w:rFonts w:ascii="Calibri" w:hAnsi="Calibri" w:eastAsia="宋体" w:cs="黑体"/>
          <w:color w:val="auto"/>
          <w:kern w:val="2"/>
          <w:sz w:val="21"/>
          <w:szCs w:val="22"/>
          <w:lang w:val="en-US" w:eastAsia="zh-CN" w:bidi="ar-SA"/>
        </w:rPr>
        <w:pict>
          <v:shape id="自选图形 266" o:spid="_x0000_s1174" o:spt="32" type="#_x0000_t32" style="position:absolute;left:0pt;margin-left:138.9pt;margin-top:20488.8pt;height:0.55pt;width:202.5pt;z-index:251760640;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ascii="Calibri" w:hAnsi="Calibri" w:eastAsia="宋体" w:cs="黑体"/>
          <w:color w:val="auto"/>
          <w:kern w:val="2"/>
          <w:sz w:val="21"/>
          <w:szCs w:val="22"/>
          <w:lang w:val="en-US" w:eastAsia="zh-CN" w:bidi="ar-SA"/>
        </w:rPr>
        <w:pict>
          <v:shape id="自选图形 267" o:spid="_x0000_s1175" o:spt="32" type="#_x0000_t32" style="position:absolute;left:0pt;margin-left:138.9pt;margin-top:20488.8pt;height:0.55pt;width:202.5pt;z-index:251755520;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p>
    <w:p>
      <w:pPr>
        <w:jc w:val="center"/>
        <w:rPr>
          <w:color w:val="auto"/>
        </w:rPr>
      </w:pPr>
      <w:r>
        <w:rPr>
          <w:color w:val="auto"/>
          <w:sz w:val="21"/>
        </w:rPr>
        <w:pict>
          <v:line id="_x0000_s1289" o:spid="_x0000_s1289" o:spt="20" style="position:absolute;left:0pt;flip:x;margin-left:194.4pt;margin-top:5.7pt;height:22.1pt;width:0.55pt;z-index:259890176;mso-width-relative:page;mso-height-relative:page;" filled="f" stroked="t" coordsize="21600,21600">
            <v:path arrowok="t"/>
            <v:fill on="f" focussize="0,0"/>
            <v:stroke weight="1.25pt" color="#000000" endarrow="block"/>
            <v:imagedata o:title=""/>
            <o:lock v:ext="edit" aspectratio="f"/>
          </v:line>
        </w:pict>
      </w:r>
      <w:r>
        <w:rPr>
          <w:color w:val="auto"/>
          <w:sz w:val="21"/>
        </w:rPr>
        <w:pict>
          <v:line id="_x0000_s1288" o:spid="_x0000_s1288" o:spt="20" style="position:absolute;left:0pt;flip:x;margin-left:44.1pt;margin-top:7.3pt;height:22.1pt;width:0.55pt;z-index:255773696;mso-width-relative:page;mso-height-relative:page;" filled="f" stroked="t" coordsize="21600,21600">
            <v:path arrowok="t"/>
            <v:fill on="f" focussize="0,0"/>
            <v:stroke weight="1.25pt" color="#000000" endarrow="block"/>
            <v:imagedata o:title=""/>
            <o:lock v:ext="edit" aspectratio="f"/>
          </v:line>
        </w:pict>
      </w:r>
      <w:r>
        <w:rPr>
          <w:rFonts w:ascii="Calibri" w:hAnsi="Calibri" w:eastAsia="宋体" w:cs="黑体"/>
          <w:color w:val="auto"/>
          <w:kern w:val="2"/>
          <w:sz w:val="21"/>
          <w:szCs w:val="22"/>
          <w:lang w:val="en-US" w:eastAsia="zh-CN" w:bidi="ar-SA"/>
        </w:rPr>
        <w:pict>
          <v:shape id="自选图形 271" o:spid="_x0000_s1179" o:spt="32" type="#_x0000_t32" style="position:absolute;left:0pt;margin-left:138.9pt;margin-top:20473.2pt;height:0.55pt;width:202.5pt;z-index:251765760;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ascii="Calibri" w:hAnsi="Calibri" w:eastAsia="宋体" w:cs="黑体"/>
          <w:color w:val="auto"/>
          <w:kern w:val="2"/>
          <w:sz w:val="21"/>
          <w:szCs w:val="22"/>
          <w:lang w:val="en-US" w:eastAsia="zh-CN" w:bidi="ar-SA"/>
        </w:rPr>
        <w:pict>
          <v:shape id="自选图形 272" o:spid="_x0000_s1180" o:spt="32" type="#_x0000_t32" style="position:absolute;left:0pt;margin-left:138.9pt;margin-top:20473.2pt;height:0.55pt;width:202.5pt;z-index:251764736;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p>
    <w:p>
      <w:pPr>
        <w:jc w:val="center"/>
        <w:rPr>
          <w:color w:val="auto"/>
        </w:rPr>
      </w:pPr>
      <w:r>
        <w:rPr>
          <w:rFonts w:ascii="Calibri" w:hAnsi="Calibri" w:eastAsia="宋体" w:cs="黑体"/>
          <w:color w:val="auto"/>
          <w:kern w:val="2"/>
          <w:sz w:val="21"/>
          <w:szCs w:val="22"/>
          <w:lang w:val="en-US" w:eastAsia="zh-CN" w:bidi="ar-SA"/>
        </w:rPr>
        <w:pict>
          <v:rect id="文本框 274" o:spid="_x0000_s1182" o:spt="1" style="position:absolute;left:0pt;margin-left:126.6pt;margin-top:12.1pt;height:36.95pt;width:114pt;z-index:251747328;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pStyle w:val="45"/>
                    <w:snapToGrid w:val="0"/>
                    <w:spacing w:line="240" w:lineRule="auto"/>
                    <w:rPr>
                      <w:rFonts w:ascii="仿宋" w:hAnsi="仿宋" w:eastAsia="仿宋"/>
                    </w:rPr>
                  </w:pPr>
                  <w:r>
                    <w:rPr>
                      <w:rFonts w:hint="eastAsia" w:ascii="仿宋" w:hAnsi="仿宋" w:eastAsia="仿宋"/>
                    </w:rPr>
                    <w:t>贾汪区突发环境污染事件应急预案</w:t>
                  </w:r>
                </w:p>
                <w:p>
                  <w:pPr>
                    <w:pStyle w:val="44"/>
                    <w:snapToGrid w:val="0"/>
                    <w:spacing w:line="240" w:lineRule="auto"/>
                  </w:pPr>
                </w:p>
              </w:txbxContent>
            </v:textbox>
          </v:rect>
        </w:pict>
      </w:r>
      <w:r>
        <w:rPr>
          <w:rFonts w:ascii="Calibri" w:hAnsi="Calibri" w:eastAsia="宋体" w:cs="黑体"/>
          <w:color w:val="auto"/>
          <w:kern w:val="2"/>
          <w:sz w:val="21"/>
          <w:szCs w:val="22"/>
          <w:lang w:val="en-US" w:eastAsia="zh-CN" w:bidi="ar-SA"/>
        </w:rPr>
        <w:pict>
          <v:rect id="文本框 275" o:spid="_x0000_s1183" o:spt="1" style="position:absolute;left:0pt;margin-left:-16.25pt;margin-top:12.1pt;height:35.4pt;width:121.4pt;z-index:251746304;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pStyle w:val="45"/>
                    <w:snapToGrid w:val="0"/>
                    <w:spacing w:line="240" w:lineRule="auto"/>
                    <w:rPr>
                      <w:rFonts w:ascii="仿宋" w:hAnsi="仿宋" w:eastAsia="仿宋"/>
                    </w:rPr>
                  </w:pPr>
                  <w:r>
                    <w:rPr>
                      <w:rFonts w:hint="eastAsia" w:ascii="仿宋" w:hAnsi="仿宋" w:eastAsia="仿宋"/>
                    </w:rPr>
                    <w:t>贾汪区突发公共事件应急预案</w:t>
                  </w:r>
                </w:p>
                <w:p>
                  <w:pPr>
                    <w:pStyle w:val="45"/>
                    <w:snapToGrid w:val="0"/>
                    <w:spacing w:line="240" w:lineRule="auto"/>
                    <w:rPr>
                      <w:rFonts w:ascii="仿宋" w:hAnsi="仿宋" w:eastAsia="仿宋"/>
                    </w:rPr>
                  </w:pPr>
                </w:p>
              </w:txbxContent>
            </v:textbox>
          </v:rect>
        </w:pict>
      </w:r>
    </w:p>
    <w:p>
      <w:pPr>
        <w:jc w:val="center"/>
        <w:rPr>
          <w:color w:val="auto"/>
        </w:rPr>
      </w:pPr>
      <w:r>
        <w:rPr>
          <w:color w:val="auto"/>
          <w:sz w:val="21"/>
        </w:rPr>
        <w:pict>
          <v:line id="_x0000_s1292" o:spid="_x0000_s1292" o:spt="20" style="position:absolute;left:0pt;margin-left:105.15pt;margin-top:15.05pt;height:0.05pt;width:20.15pt;z-index:270593024;mso-width-relative:page;mso-height-relative:page;" filled="f" stroked="t" coordsize="21600,21600">
            <v:path arrowok="t"/>
            <v:fill on="f" focussize="0,0"/>
            <v:stroke weight="1.25pt" color="#000000" endarrow="block"/>
            <v:imagedata o:title=""/>
            <o:lock v:ext="edit" aspectratio="f"/>
          </v:line>
        </w:pict>
      </w:r>
      <w:r>
        <w:rPr>
          <w:rFonts w:ascii="Calibri" w:hAnsi="Calibri" w:eastAsia="宋体" w:cs="黑体"/>
          <w:color w:val="auto"/>
          <w:kern w:val="2"/>
          <w:sz w:val="21"/>
          <w:szCs w:val="22"/>
          <w:lang w:val="en-US" w:eastAsia="zh-CN" w:bidi="ar-SA"/>
        </w:rPr>
        <w:pict>
          <v:shape id="自选图形 278" o:spid="_x0000_s1186" o:spt="32" type="#_x0000_t32" style="position:absolute;left:0pt;margin-left:138.9pt;margin-top:20442pt;height:0.55pt;width:202.5pt;z-index:251761664;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ascii="Calibri" w:hAnsi="Calibri" w:eastAsia="宋体" w:cs="黑体"/>
          <w:color w:val="auto"/>
          <w:kern w:val="2"/>
          <w:sz w:val="21"/>
          <w:szCs w:val="22"/>
          <w:lang w:val="en-US" w:eastAsia="zh-CN" w:bidi="ar-SA"/>
        </w:rPr>
        <w:pict>
          <v:shape id="自选图形 279" o:spid="_x0000_s1187" o:spt="32" type="#_x0000_t32" style="position:absolute;left:0pt;margin-left:138.9pt;margin-top:20442pt;height:0.55pt;width:202.5pt;z-index:251756544;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p>
    <w:p>
      <w:pPr>
        <w:jc w:val="center"/>
        <w:rPr>
          <w:color w:val="auto"/>
        </w:rPr>
      </w:pPr>
    </w:p>
    <w:p>
      <w:pPr>
        <w:jc w:val="center"/>
        <w:rPr>
          <w:rFonts w:hint="eastAsia"/>
          <w:color w:val="auto"/>
        </w:rPr>
      </w:pPr>
      <w:r>
        <w:rPr>
          <w:color w:val="auto"/>
          <w:sz w:val="21"/>
        </w:rPr>
        <w:pict>
          <v:line id="_x0000_s1291" o:spid="_x0000_s1291" o:spt="20" style="position:absolute;left:0pt;margin-left:194.5pt;margin-top:1.9pt;height:20.65pt;width:0.45pt;z-index:268123136;mso-width-relative:page;mso-height-relative:page;" filled="f" stroked="t" coordsize="21600,21600">
            <v:path arrowok="t"/>
            <v:fill on="f" focussize="0,0"/>
            <v:stroke weight="1.25pt" color="#000000" endarrow="block"/>
            <v:imagedata o:title=""/>
            <o:lock v:ext="edit" aspectratio="f"/>
          </v:line>
        </w:pict>
      </w:r>
      <w:r>
        <w:rPr>
          <w:color w:val="auto"/>
          <w:sz w:val="21"/>
        </w:rPr>
        <w:pict>
          <v:line id="_x0000_s1290" o:spid="_x0000_s1290" o:spt="20" style="position:absolute;left:0pt;margin-left:44pt;margin-top:0.5pt;height:21.2pt;width:0.4pt;z-index:264006656;mso-width-relative:page;mso-height-relative:page;" filled="f" stroked="t" coordsize="21600,21600">
            <v:path arrowok="t"/>
            <v:fill on="f" focussize="0,0"/>
            <v:stroke weight="1.25pt" color="#000000" endarrow="block"/>
            <v:imagedata o:title=""/>
            <o:lock v:ext="edit" aspectratio="f"/>
          </v:line>
        </w:pict>
      </w:r>
    </w:p>
    <w:p>
      <w:pPr>
        <w:jc w:val="center"/>
        <w:rPr>
          <w:rFonts w:hint="eastAsia"/>
          <w:color w:val="auto"/>
        </w:rPr>
      </w:pPr>
      <w:r>
        <w:rPr>
          <w:rFonts w:ascii="Calibri" w:hAnsi="Calibri" w:eastAsia="宋体" w:cs="黑体"/>
          <w:color w:val="auto"/>
          <w:kern w:val="2"/>
          <w:sz w:val="21"/>
          <w:szCs w:val="22"/>
          <w:lang w:val="en-US" w:eastAsia="zh-CN" w:bidi="ar-SA"/>
        </w:rPr>
        <w:pict>
          <v:rect id="文本框 268" o:spid="_x0000_s1176" o:spt="1" style="position:absolute;left:0pt;margin-left:310.4pt;margin-top:6.1pt;height:35.55pt;width:146.95pt;z-index:251741184;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pStyle w:val="47"/>
                    <w:snapToGrid w:val="0"/>
                    <w:spacing w:line="240" w:lineRule="auto"/>
                    <w:rPr>
                      <w:rFonts w:ascii="仿宋" w:hAnsi="仿宋" w:eastAsia="仿宋"/>
                    </w:rPr>
                  </w:pPr>
                  <w:r>
                    <w:rPr>
                      <w:rFonts w:hint="eastAsia" w:ascii="仿宋" w:hAnsi="仿宋" w:eastAsia="仿宋"/>
                    </w:rPr>
                    <w:t>江苏超力建材科技有限公司突发环境事件应急预案</w:t>
                  </w:r>
                </w:p>
              </w:txbxContent>
            </v:textbox>
          </v:rect>
        </w:pict>
      </w:r>
      <w:r>
        <w:rPr>
          <w:rFonts w:hint="eastAsia" w:ascii="Calibri" w:hAnsi="Calibri" w:eastAsia="宋体" w:cs="黑体"/>
          <w:color w:val="auto"/>
          <w:kern w:val="2"/>
          <w:sz w:val="21"/>
          <w:szCs w:val="22"/>
          <w:lang w:val="en-US" w:eastAsia="zh-CN" w:bidi="ar-SA"/>
        </w:rPr>
        <w:pict>
          <v:rect id="文本框 282" o:spid="_x0000_s1190" o:spt="1" style="position:absolute;left:0pt;margin-left:126.6pt;margin-top:5.8pt;height:40.25pt;width:133.85pt;z-index:251750400;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rPr>
                      <w:rFonts w:ascii="仿宋" w:hAnsi="仿宋" w:eastAsia="仿宋"/>
                      <w:sz w:val="21"/>
                      <w:szCs w:val="21"/>
                    </w:rPr>
                  </w:pPr>
                  <w:r>
                    <w:rPr>
                      <w:rFonts w:hint="eastAsia" w:ascii="仿宋" w:hAnsi="仿宋" w:eastAsia="仿宋"/>
                      <w:sz w:val="21"/>
                      <w:szCs w:val="21"/>
                    </w:rPr>
                    <w:t>徐州工业园区化工产业园突发环境事件应急预案</w:t>
                  </w:r>
                </w:p>
                <w:p>
                  <w:pPr>
                    <w:pStyle w:val="45"/>
                    <w:snapToGrid w:val="0"/>
                    <w:spacing w:line="240" w:lineRule="auto"/>
                    <w:rPr>
                      <w:rFonts w:ascii="仿宋" w:hAnsi="仿宋" w:eastAsia="仿宋"/>
                      <w:szCs w:val="21"/>
                    </w:rPr>
                  </w:pPr>
                </w:p>
              </w:txbxContent>
            </v:textbox>
          </v:rect>
        </w:pict>
      </w:r>
      <w:r>
        <w:rPr>
          <w:rFonts w:hint="eastAsia" w:ascii="Calibri" w:hAnsi="Calibri" w:eastAsia="宋体" w:cs="黑体"/>
          <w:color w:val="auto"/>
          <w:kern w:val="2"/>
          <w:sz w:val="21"/>
          <w:szCs w:val="22"/>
          <w:lang w:val="en-US" w:eastAsia="zh-CN" w:bidi="ar-SA"/>
        </w:rPr>
        <w:pict>
          <v:rect id="文本框 283" o:spid="_x0000_s1191" o:spt="1" style="position:absolute;left:0pt;margin-left:-29.15pt;margin-top:5.75pt;height:36.9pt;width:134.3pt;z-index:251749376;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jc w:val="center"/>
                    <w:rPr>
                      <w:rFonts w:ascii="仿宋" w:hAnsi="仿宋" w:eastAsia="仿宋"/>
                      <w:sz w:val="21"/>
                      <w:szCs w:val="21"/>
                    </w:rPr>
                  </w:pPr>
                  <w:r>
                    <w:rPr>
                      <w:rFonts w:hint="eastAsia" w:ascii="仿宋" w:hAnsi="仿宋" w:eastAsia="仿宋"/>
                      <w:sz w:val="21"/>
                      <w:szCs w:val="21"/>
                    </w:rPr>
                    <w:t>徐州工业园区化工产业园突发公共事件应急预案</w:t>
                  </w:r>
                </w:p>
              </w:txbxContent>
            </v:textbox>
          </v:rect>
        </w:pict>
      </w:r>
    </w:p>
    <w:p>
      <w:pPr>
        <w:jc w:val="center"/>
        <w:rPr>
          <w:rFonts w:hint="eastAsia"/>
          <w:color w:val="auto"/>
        </w:rPr>
      </w:pPr>
      <w:r>
        <w:rPr>
          <w:color w:val="auto"/>
          <w:sz w:val="21"/>
        </w:rPr>
        <w:pict>
          <v:line id="_x0000_s1294" o:spid="_x0000_s1294" o:spt="20" style="position:absolute;left:0pt;margin-left:260.6pt;margin-top:8.25pt;height:0.05pt;width:50.15pt;z-index:308464640;mso-width-relative:page;mso-height-relative:page;" filled="f" stroked="t" coordsize="21600,21600">
            <v:path arrowok="t"/>
            <v:fill on="f" focussize="0,0"/>
            <v:stroke weight="1.25pt" color="#000000" endarrow="block"/>
            <v:imagedata o:title=""/>
            <o:lock v:ext="edit" aspectratio="f"/>
          </v:line>
        </w:pict>
      </w:r>
      <w:r>
        <w:rPr>
          <w:color w:val="auto"/>
          <w:sz w:val="21"/>
        </w:rPr>
        <w:pict>
          <v:line id="_x0000_s1293" o:spid="_x0000_s1293" o:spt="20" style="position:absolute;left:0pt;margin-left:105pt;margin-top:7.75pt;height:0.05pt;width:20.15pt;z-index:289528832;mso-width-relative:page;mso-height-relative:page;" filled="f" stroked="t" coordsize="21600,21600">
            <v:path arrowok="t"/>
            <v:fill on="f" focussize="0,0"/>
            <v:stroke weight="1.25pt" color="#000000" endarrow="block"/>
            <v:imagedata o:title=""/>
            <o:lock v:ext="edit" aspectratio="f"/>
          </v:line>
        </w:pict>
      </w:r>
      <w:r>
        <w:rPr>
          <w:rFonts w:ascii="Calibri" w:hAnsi="Calibri" w:eastAsia="宋体" w:cs="黑体"/>
          <w:color w:val="auto"/>
          <w:kern w:val="2"/>
          <w:sz w:val="21"/>
          <w:szCs w:val="22"/>
          <w:lang w:val="en-US" w:eastAsia="zh-CN" w:bidi="ar-SA"/>
        </w:rPr>
        <w:pict>
          <v:shape id="自选图形 286" o:spid="_x0000_s1194" o:spt="32" type="#_x0000_t32" style="position:absolute;left:0pt;margin-left:138.9pt;margin-top:20379.6pt;height:0.55pt;width:202.5pt;z-index:251762688;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color w:val="auto"/>
          <w:kern w:val="2"/>
          <w:sz w:val="21"/>
          <w:szCs w:val="22"/>
          <w:lang w:val="en-US" w:eastAsia="zh-CN" w:bidi="ar-SA"/>
        </w:rPr>
        <w:pict>
          <v:shape id="自选图形 287" o:spid="_x0000_s1195" o:spt="32" type="#_x0000_t32" style="position:absolute;left:0pt;margin-left:138.9pt;margin-top:20379.6pt;height:0.55pt;width:202.5pt;z-index:251757568;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p>
    <w:p>
      <w:pPr>
        <w:jc w:val="center"/>
        <w:rPr>
          <w:rFonts w:hint="eastAsia"/>
          <w:color w:val="auto"/>
        </w:rPr>
      </w:pPr>
      <w:r>
        <w:rPr>
          <w:rFonts w:ascii="Calibri" w:hAnsi="Calibri" w:eastAsia="宋体" w:cs="黑体"/>
          <w:color w:val="auto"/>
          <w:kern w:val="2"/>
          <w:sz w:val="21"/>
          <w:szCs w:val="22"/>
          <w:lang w:val="en-US" w:eastAsia="zh-CN" w:bidi="ar-SA"/>
        </w:rPr>
        <w:pict>
          <v:rect id="文本框 116" o:spid="_x0000_s1196" o:spt="1" style="position:absolute;left:0pt;margin-left:128.4pt;margin-top:12.95pt;height:27.3pt;width:294.6pt;z-index:25168691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snapToGrid w:val="0"/>
                    <w:spacing w:before="50" w:after="50"/>
                    <w:ind w:firstLine="482" w:firstLineChars="200"/>
                    <w:rPr>
                      <w:rFonts w:hint="default" w:ascii="Times New Roman" w:hAnsi="Times New Roman" w:eastAsia="仿宋" w:cs="Times New Roman"/>
                      <w:b/>
                      <w:bCs/>
                      <w:color w:val="FF0000"/>
                      <w:sz w:val="24"/>
                      <w:szCs w:val="24"/>
                    </w:rPr>
                  </w:pPr>
                  <w:r>
                    <w:rPr>
                      <w:rFonts w:hint="default" w:ascii="Times New Roman" w:hAnsi="Times New Roman" w:eastAsia="仿宋" w:cs="Times New Roman"/>
                      <w:b/>
                      <w:bCs/>
                      <w:color w:val="FF0000"/>
                      <w:sz w:val="24"/>
                      <w:szCs w:val="24"/>
                    </w:rPr>
                    <w:t>图1.5-1应急预案体系框图</w:t>
                  </w:r>
                </w:p>
              </w:txbxContent>
            </v:textbox>
          </v:rect>
        </w:pict>
      </w:r>
    </w:p>
    <w:p>
      <w:pPr>
        <w:rPr>
          <w:rFonts w:hint="eastAsia"/>
          <w:color w:val="auto"/>
        </w:rPr>
      </w:pPr>
    </w:p>
    <w:p>
      <w:pPr>
        <w:snapToGrid w:val="0"/>
        <w:spacing w:before="50" w:after="50"/>
        <w:ind w:firstLine="560" w:firstLineChars="200"/>
        <w:rPr>
          <w:rFonts w:hint="default" w:ascii="Times New Roman" w:hAnsi="Times New Roman" w:eastAsia="仿宋" w:cs="Times New Roman"/>
          <w:color w:val="auto"/>
          <w:sz w:val="28"/>
          <w:szCs w:val="28"/>
        </w:rPr>
      </w:pPr>
    </w:p>
    <w:p>
      <w:pPr>
        <w:snapToGrid w:val="0"/>
        <w:spacing w:before="50" w:after="50"/>
        <w:ind w:firstLine="560" w:firstLineChars="200"/>
        <w:rPr>
          <w:rFonts w:hint="default" w:ascii="Times New Roman" w:hAnsi="Times New Roman" w:eastAsia="仿宋" w:cs="Times New Roman"/>
          <w:color w:val="auto"/>
          <w:sz w:val="28"/>
          <w:szCs w:val="28"/>
        </w:rPr>
      </w:pPr>
    </w:p>
    <w:p>
      <w:pPr>
        <w:widowControl w:val="0"/>
        <w:wordWrap/>
        <w:adjustRightInd/>
        <w:snapToGrid/>
        <w:spacing w:line="360" w:lineRule="auto"/>
        <w:jc w:val="left"/>
        <w:textAlignment w:val="auto"/>
        <w:rPr>
          <w:rFonts w:hint="default" w:ascii="Times New Roman" w:hAnsi="Times New Roman" w:eastAsia="仿宋" w:cs="Times New Roman"/>
          <w:b/>
          <w:color w:val="auto"/>
          <w:sz w:val="30"/>
          <w:szCs w:val="30"/>
        </w:rPr>
      </w:pPr>
      <w:r>
        <w:rPr>
          <w:rFonts w:ascii="Calibri" w:hAnsi="Calibri" w:eastAsia="宋体" w:cs="黑体"/>
          <w:color w:val="auto"/>
          <w:kern w:val="2"/>
          <w:sz w:val="21"/>
          <w:szCs w:val="22"/>
          <w:lang w:val="en-US" w:eastAsia="zh-CN" w:bidi="ar-SA"/>
        </w:rPr>
        <w:pict>
          <v:shape id="自选图形 112" o:spid="_x0000_s1197" o:spt="32" type="#_x0000_t32" style="position:absolute;left:0pt;margin-left:138.9pt;margin-top:20442pt;height:0.55pt;width:202.5pt;z-index:251689984;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ascii="Calibri" w:hAnsi="Calibri" w:eastAsia="宋体" w:cs="黑体"/>
          <w:color w:val="auto"/>
          <w:kern w:val="2"/>
          <w:sz w:val="21"/>
          <w:szCs w:val="22"/>
          <w:lang w:val="en-US" w:eastAsia="zh-CN" w:bidi="ar-SA"/>
        </w:rPr>
        <w:pict>
          <v:shape id="自选图形 113" o:spid="_x0000_s1198" o:spt="32" type="#_x0000_t32" style="position:absolute;left:0pt;margin-left:138.9pt;margin-top:20442pt;height:0.55pt;width:202.5pt;z-index:251687936;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ascii="Calibri" w:hAnsi="Calibri" w:eastAsia="宋体" w:cs="黑体"/>
          <w:color w:val="auto"/>
          <w:kern w:val="2"/>
          <w:sz w:val="21"/>
          <w:szCs w:val="22"/>
          <w:lang w:val="en-US" w:eastAsia="zh-CN" w:bidi="ar-SA"/>
        </w:rPr>
        <w:pict>
          <v:shape id="自选图形 114" o:spid="_x0000_s1199" o:spt="32" type="#_x0000_t32" style="position:absolute;left:0pt;margin-left:138.9pt;margin-top:20379.6pt;height:0.55pt;width:202.5pt;z-index:251691008;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color w:val="auto"/>
          <w:kern w:val="2"/>
          <w:sz w:val="21"/>
          <w:szCs w:val="22"/>
          <w:lang w:val="en-US" w:eastAsia="zh-CN" w:bidi="ar-SA"/>
        </w:rPr>
        <w:pict>
          <v:shape id="自选图形 115" o:spid="_x0000_s1200" o:spt="32" type="#_x0000_t32" style="position:absolute;left:0pt;margin-left:138.9pt;margin-top:20379.6pt;height:0.55pt;width:202.5pt;z-index:251688960;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bookmarkStart w:id="157" w:name="_Toc525292631"/>
      <w:bookmarkStart w:id="158" w:name="_Toc516651815"/>
      <w:r>
        <w:rPr>
          <w:rFonts w:hint="default" w:ascii="Times New Roman" w:hAnsi="Times New Roman" w:eastAsia="仿宋" w:cs="Times New Roman"/>
          <w:b/>
          <w:color w:val="auto"/>
          <w:sz w:val="30"/>
          <w:szCs w:val="30"/>
        </w:rPr>
        <w:t>1.6</w:t>
      </w:r>
      <w:r>
        <w:rPr>
          <w:rFonts w:hint="eastAsia" w:ascii="Times New Roman" w:hAnsi="Times New Roman" w:cs="Times New Roman"/>
          <w:b/>
          <w:color w:val="auto"/>
          <w:sz w:val="30"/>
          <w:szCs w:val="30"/>
          <w:lang w:val="en-US" w:eastAsia="zh-CN"/>
        </w:rPr>
        <w:t xml:space="preserve"> </w:t>
      </w:r>
      <w:r>
        <w:rPr>
          <w:rFonts w:hint="default" w:ascii="Times New Roman" w:hAnsi="Times New Roman" w:eastAsia="仿宋" w:cs="Times New Roman"/>
          <w:b/>
          <w:color w:val="auto"/>
          <w:sz w:val="30"/>
          <w:szCs w:val="30"/>
        </w:rPr>
        <w:t>编制要求与工作原则</w:t>
      </w:r>
      <w:bookmarkEnd w:id="157"/>
      <w:bookmarkEnd w:id="158"/>
    </w:p>
    <w:p>
      <w:pPr>
        <w:pStyle w:val="6"/>
        <w:widowControl w:val="0"/>
        <w:wordWrap/>
        <w:adjustRightInd/>
        <w:snapToGrid/>
        <w:spacing w:before="0" w:after="0" w:line="360" w:lineRule="auto"/>
        <w:ind w:left="0"/>
        <w:textAlignment w:val="auto"/>
        <w:outlineLvl w:val="2"/>
        <w:rPr>
          <w:rFonts w:hint="default" w:ascii="Times New Roman" w:hAnsi="Times New Roman" w:eastAsia="仿宋" w:cs="Times New Roman"/>
          <w:b/>
          <w:color w:val="auto"/>
          <w:sz w:val="28"/>
          <w:szCs w:val="28"/>
        </w:rPr>
      </w:pPr>
      <w:bookmarkStart w:id="159" w:name="_Toc516651816"/>
      <w:bookmarkStart w:id="160" w:name="_Toc525292632"/>
      <w:bookmarkStart w:id="161" w:name="_Toc8037"/>
      <w:r>
        <w:rPr>
          <w:rFonts w:hint="default" w:ascii="Times New Roman" w:hAnsi="Times New Roman" w:eastAsia="仿宋" w:cs="Times New Roman"/>
          <w:b/>
          <w:color w:val="auto"/>
          <w:sz w:val="28"/>
          <w:szCs w:val="28"/>
        </w:rPr>
        <w:t>1.6.1</w:t>
      </w:r>
      <w:r>
        <w:rPr>
          <w:rFonts w:hint="eastAsia" w:ascii="Times New Roman" w:hAnsi="Times New Roman" w:eastAsia="仿宋" w:cs="Times New Roman"/>
          <w:b/>
          <w:color w:val="auto"/>
          <w:sz w:val="28"/>
          <w:szCs w:val="28"/>
          <w:lang w:val="en-US" w:eastAsia="zh-CN"/>
        </w:rPr>
        <w:t xml:space="preserve"> </w:t>
      </w:r>
      <w:r>
        <w:rPr>
          <w:rFonts w:hint="default" w:ascii="Times New Roman" w:hAnsi="Times New Roman" w:eastAsia="仿宋" w:cs="Times New Roman"/>
          <w:b/>
          <w:color w:val="auto"/>
          <w:sz w:val="28"/>
          <w:szCs w:val="28"/>
        </w:rPr>
        <w:t>编制要求</w:t>
      </w:r>
      <w:bookmarkEnd w:id="159"/>
      <w:bookmarkEnd w:id="160"/>
      <w:bookmarkEnd w:id="161"/>
    </w:p>
    <w:p>
      <w:pPr>
        <w:snapToGrid w:val="0"/>
        <w:spacing w:line="240" w:lineRule="auto"/>
        <w:ind w:firstLine="482"/>
        <w:rPr>
          <w:rFonts w:hint="eastAsia"/>
          <w:color w:val="auto"/>
          <w:sz w:val="28"/>
          <w:szCs w:val="28"/>
        </w:rPr>
      </w:pPr>
      <w:r>
        <w:rPr>
          <w:rFonts w:hint="eastAsia" w:eastAsia="仿宋"/>
          <w:color w:val="auto"/>
          <w:sz w:val="28"/>
          <w:szCs w:val="28"/>
        </w:rPr>
        <w:t>预案编制符合国家相关法律、法规、规章、标准和编制指南等规定；符合本地区和本单位突发环境事件应急工作实际；建立在环境敏感点分析基础上，与环境风险分析和突发环境事件应急能力相适应；应急人员职责分工明确、责任落实到位；预防措施和应急程序明确具体、操作性强；应急保障措施明确，并能满足本地区和本单位应急工作要求；预案基本要素完整，附件信息正确；与相关应急预案相衔接</w:t>
      </w:r>
      <w:r>
        <w:rPr>
          <w:rFonts w:hint="eastAsia"/>
          <w:color w:val="auto"/>
          <w:sz w:val="28"/>
          <w:szCs w:val="28"/>
        </w:rPr>
        <w:t>。</w:t>
      </w:r>
    </w:p>
    <w:p>
      <w:pPr>
        <w:pStyle w:val="6"/>
        <w:spacing w:before="120" w:after="120" w:line="500" w:lineRule="exact"/>
        <w:ind w:left="0"/>
        <w:outlineLvl w:val="2"/>
        <w:rPr>
          <w:rFonts w:hint="default" w:ascii="Times New Roman" w:hAnsi="Times New Roman" w:eastAsia="仿宋" w:cs="Times New Roman"/>
          <w:b/>
          <w:color w:val="auto"/>
          <w:sz w:val="28"/>
          <w:szCs w:val="28"/>
        </w:rPr>
      </w:pPr>
      <w:bookmarkStart w:id="162" w:name="_Toc525292633"/>
      <w:bookmarkStart w:id="163" w:name="_Toc516651817"/>
      <w:bookmarkStart w:id="164" w:name="_Toc15770"/>
      <w:r>
        <w:rPr>
          <w:rFonts w:hint="default" w:ascii="Times New Roman" w:hAnsi="Times New Roman" w:eastAsia="仿宋" w:cs="Times New Roman"/>
          <w:b/>
          <w:color w:val="auto"/>
          <w:sz w:val="28"/>
          <w:szCs w:val="28"/>
        </w:rPr>
        <w:t>1.6.2</w:t>
      </w:r>
      <w:r>
        <w:rPr>
          <w:rFonts w:hint="eastAsia" w:ascii="Times New Roman" w:hAnsi="Times New Roman" w:eastAsia="仿宋" w:cs="Times New Roman"/>
          <w:b/>
          <w:color w:val="auto"/>
          <w:sz w:val="28"/>
          <w:szCs w:val="28"/>
          <w:lang w:val="en-US" w:eastAsia="zh-CN"/>
        </w:rPr>
        <w:t xml:space="preserve"> </w:t>
      </w:r>
      <w:r>
        <w:rPr>
          <w:rFonts w:hint="eastAsia" w:ascii="Times New Roman" w:hAnsi="Times New Roman" w:eastAsia="仿宋" w:cs="Times New Roman"/>
          <w:b/>
          <w:color w:val="auto"/>
          <w:sz w:val="28"/>
          <w:szCs w:val="28"/>
        </w:rPr>
        <w:t>编制原则</w:t>
      </w:r>
      <w:bookmarkEnd w:id="162"/>
      <w:bookmarkEnd w:id="163"/>
      <w:bookmarkEnd w:id="164"/>
    </w:p>
    <w:p>
      <w:pPr>
        <w:snapToGrid w:val="0"/>
        <w:spacing w:line="240" w:lineRule="auto"/>
        <w:ind w:firstLine="482"/>
        <w:rPr>
          <w:rFonts w:hint="eastAsia" w:eastAsia="仿宋"/>
          <w:color w:val="auto"/>
          <w:sz w:val="28"/>
          <w:szCs w:val="28"/>
        </w:rPr>
      </w:pPr>
      <w:r>
        <w:rPr>
          <w:rFonts w:hint="eastAsia" w:eastAsia="仿宋"/>
          <w:color w:val="auto"/>
          <w:sz w:val="28"/>
          <w:szCs w:val="28"/>
        </w:rPr>
        <w:t>在建立突发性环境污染事件应急系统及其响应程序时，应本着实事求是、切实可行的方针，贯彻如下原则：</w:t>
      </w:r>
    </w:p>
    <w:p>
      <w:pPr>
        <w:snapToGrid w:val="0"/>
        <w:spacing w:line="240" w:lineRule="auto"/>
        <w:ind w:firstLine="482"/>
        <w:rPr>
          <w:rFonts w:hint="eastAsia" w:eastAsia="仿宋"/>
          <w:color w:val="auto"/>
          <w:sz w:val="28"/>
          <w:szCs w:val="28"/>
        </w:rPr>
      </w:pPr>
      <w:r>
        <w:rPr>
          <w:rFonts w:hint="eastAsia" w:eastAsia="仿宋"/>
          <w:color w:val="auto"/>
          <w:sz w:val="28"/>
          <w:szCs w:val="28"/>
        </w:rPr>
        <w:t>⑴以人为本，强化管理。</w:t>
      </w:r>
    </w:p>
    <w:p>
      <w:pPr>
        <w:snapToGrid w:val="0"/>
        <w:spacing w:line="240" w:lineRule="auto"/>
        <w:ind w:firstLine="482"/>
        <w:rPr>
          <w:rFonts w:hint="eastAsia" w:eastAsia="仿宋"/>
          <w:color w:val="auto"/>
          <w:sz w:val="28"/>
          <w:szCs w:val="28"/>
        </w:rPr>
      </w:pPr>
      <w:r>
        <w:rPr>
          <w:rFonts w:hint="eastAsia" w:eastAsia="仿宋"/>
          <w:color w:val="auto"/>
          <w:sz w:val="28"/>
          <w:szCs w:val="28"/>
        </w:rPr>
        <w:t>把保障职工健康和公众生命安全放在首位，切实加强本企业的安全管理和安全防护，最大限度地减少财产损失、环境损害和社会影响。</w:t>
      </w:r>
    </w:p>
    <w:p>
      <w:pPr>
        <w:snapToGrid w:val="0"/>
        <w:spacing w:line="240" w:lineRule="auto"/>
        <w:ind w:firstLine="482"/>
        <w:rPr>
          <w:rFonts w:hint="eastAsia" w:eastAsia="仿宋"/>
          <w:color w:val="auto"/>
          <w:sz w:val="28"/>
          <w:szCs w:val="28"/>
        </w:rPr>
      </w:pPr>
      <w:r>
        <w:rPr>
          <w:rFonts w:hint="eastAsia" w:eastAsia="仿宋"/>
          <w:color w:val="auto"/>
          <w:sz w:val="28"/>
          <w:szCs w:val="28"/>
        </w:rPr>
        <w:t>⑵统一领导，分级负责。</w:t>
      </w:r>
    </w:p>
    <w:p>
      <w:pPr>
        <w:snapToGrid w:val="0"/>
        <w:spacing w:line="240" w:lineRule="auto"/>
        <w:ind w:firstLine="482"/>
        <w:rPr>
          <w:rFonts w:hint="eastAsia" w:eastAsia="仿宋"/>
          <w:color w:val="auto"/>
          <w:sz w:val="28"/>
          <w:szCs w:val="28"/>
        </w:rPr>
      </w:pPr>
      <w:r>
        <w:rPr>
          <w:rFonts w:hint="eastAsia" w:eastAsia="仿宋"/>
          <w:color w:val="auto"/>
          <w:sz w:val="28"/>
          <w:szCs w:val="28"/>
        </w:rPr>
        <w:t>应急指挥部的统一领导下，公司各部门、各生产单位按照各自职责和权限，负责事故灾难的应急处置工作。</w:t>
      </w:r>
    </w:p>
    <w:p>
      <w:pPr>
        <w:snapToGrid w:val="0"/>
        <w:spacing w:line="240" w:lineRule="auto"/>
        <w:ind w:firstLine="482"/>
        <w:rPr>
          <w:rFonts w:hint="eastAsia" w:eastAsia="仿宋"/>
          <w:color w:val="auto"/>
          <w:sz w:val="28"/>
          <w:szCs w:val="28"/>
        </w:rPr>
      </w:pPr>
      <w:r>
        <w:rPr>
          <w:rFonts w:hint="eastAsia" w:eastAsia="仿宋"/>
          <w:color w:val="auto"/>
          <w:sz w:val="28"/>
          <w:szCs w:val="28"/>
        </w:rPr>
        <w:t>⑶依靠科学，依法规范。</w:t>
      </w:r>
    </w:p>
    <w:p>
      <w:pPr>
        <w:snapToGrid w:val="0"/>
        <w:spacing w:line="240" w:lineRule="auto"/>
        <w:ind w:firstLine="482"/>
        <w:rPr>
          <w:rFonts w:hint="eastAsia" w:eastAsia="仿宋"/>
          <w:color w:val="auto"/>
          <w:sz w:val="28"/>
          <w:szCs w:val="28"/>
        </w:rPr>
      </w:pPr>
      <w:r>
        <w:rPr>
          <w:rFonts w:hint="eastAsia" w:eastAsia="仿宋"/>
          <w:color w:val="auto"/>
          <w:sz w:val="28"/>
          <w:szCs w:val="28"/>
        </w:rPr>
        <w:t>企业是事故应急救援的第一响应者，公司采用先进的应急救援装备和技术，提高应急救援能力，充分发挥专家的作用，科学决策，确保预案的科学性，针对性和可操作性。</w:t>
      </w:r>
    </w:p>
    <w:p>
      <w:pPr>
        <w:snapToGrid w:val="0"/>
        <w:spacing w:line="240" w:lineRule="auto"/>
        <w:ind w:firstLine="482"/>
        <w:rPr>
          <w:rFonts w:hint="eastAsia" w:eastAsia="仿宋"/>
          <w:color w:val="auto"/>
          <w:sz w:val="28"/>
          <w:szCs w:val="28"/>
        </w:rPr>
      </w:pPr>
      <w:r>
        <w:rPr>
          <w:rFonts w:hint="eastAsia" w:eastAsia="仿宋"/>
          <w:color w:val="auto"/>
          <w:sz w:val="28"/>
          <w:szCs w:val="28"/>
        </w:rPr>
        <w:t>⑷预防为主，平战结合。</w:t>
      </w:r>
    </w:p>
    <w:p>
      <w:pPr>
        <w:snapToGrid w:val="0"/>
        <w:spacing w:line="240" w:lineRule="auto"/>
        <w:ind w:firstLine="482"/>
        <w:rPr>
          <w:rFonts w:hint="eastAsia" w:eastAsia="仿宋"/>
          <w:color w:val="auto"/>
          <w:sz w:val="28"/>
          <w:szCs w:val="28"/>
        </w:rPr>
      </w:pPr>
      <w:r>
        <w:rPr>
          <w:rFonts w:hint="eastAsia" w:eastAsia="仿宋"/>
          <w:color w:val="auto"/>
          <w:sz w:val="28"/>
          <w:szCs w:val="28"/>
        </w:rPr>
        <w:t>贯彻落实“安全第一、预防为主、综合治理”的方针，坚持事故应急与预防工作相结合，加强重大危险源管理，做好事故的预防、预测、预警和预报工作；开展职工培训教育，提高员工安全意识；组织应急演练；做好物资和技术储备工作，做到常备不懈。</w:t>
      </w:r>
    </w:p>
    <w:p>
      <w:pPr>
        <w:pStyle w:val="5"/>
        <w:keepNext/>
        <w:keepLines/>
        <w:widowControl w:val="0"/>
        <w:adjustRightInd w:val="0"/>
        <w:snapToGrid w:val="0"/>
        <w:spacing w:beforeLines="50" w:afterLines="50" w:line="480" w:lineRule="exact"/>
        <w:ind w:left="0"/>
        <w:jc w:val="both"/>
        <w:outlineLvl w:val="1"/>
        <w:rPr>
          <w:rFonts w:hint="default" w:ascii="Times New Roman" w:hAnsi="Times New Roman" w:eastAsia="仿宋" w:cs="Times New Roman"/>
          <w:b/>
          <w:color w:val="auto"/>
          <w:sz w:val="30"/>
          <w:szCs w:val="30"/>
          <w:lang w:eastAsia="zh-CN"/>
        </w:rPr>
      </w:pPr>
      <w:bookmarkStart w:id="165" w:name="_Toc29004"/>
      <w:bookmarkStart w:id="166" w:name="_Toc516651818"/>
      <w:bookmarkStart w:id="167" w:name="_Toc525292634"/>
      <w:r>
        <w:rPr>
          <w:rFonts w:hint="default" w:ascii="Times New Roman" w:hAnsi="Times New Roman" w:eastAsia="仿宋" w:cs="Times New Roman"/>
          <w:b/>
          <w:color w:val="auto"/>
          <w:sz w:val="30"/>
          <w:szCs w:val="30"/>
          <w:lang w:eastAsia="zh-CN"/>
        </w:rPr>
        <w:t>1.7</w:t>
      </w:r>
      <w:r>
        <w:rPr>
          <w:rFonts w:hint="eastAsia" w:ascii="Times New Roman" w:hAnsi="Times New Roman" w:eastAsia="仿宋" w:cs="Times New Roman"/>
          <w:b/>
          <w:color w:val="auto"/>
          <w:sz w:val="30"/>
          <w:szCs w:val="30"/>
          <w:lang w:eastAsia="zh-CN"/>
        </w:rPr>
        <w:t>突发环境事件应急预案的启动</w:t>
      </w:r>
      <w:bookmarkEnd w:id="165"/>
      <w:bookmarkEnd w:id="166"/>
      <w:bookmarkEnd w:id="167"/>
    </w:p>
    <w:p>
      <w:pPr>
        <w:snapToGrid w:val="0"/>
        <w:spacing w:line="240" w:lineRule="auto"/>
        <w:ind w:firstLine="482"/>
        <w:rPr>
          <w:rFonts w:hint="default" w:eastAsia="仿宋"/>
          <w:color w:val="auto"/>
          <w:sz w:val="28"/>
          <w:szCs w:val="28"/>
        </w:rPr>
      </w:pPr>
      <w:r>
        <w:rPr>
          <w:rFonts w:hint="default" w:eastAsia="仿宋"/>
          <w:color w:val="auto"/>
          <w:sz w:val="28"/>
          <w:szCs w:val="28"/>
        </w:rPr>
        <w:t>本公司突发环境事件应急预案分四个阶段实施：</w:t>
      </w:r>
    </w:p>
    <w:p>
      <w:pPr>
        <w:snapToGrid w:val="0"/>
        <w:spacing w:line="240" w:lineRule="auto"/>
        <w:ind w:firstLine="482"/>
        <w:rPr>
          <w:rFonts w:hint="default" w:eastAsia="仿宋"/>
          <w:color w:val="auto"/>
          <w:sz w:val="28"/>
          <w:szCs w:val="28"/>
        </w:rPr>
      </w:pPr>
      <w:r>
        <w:rPr>
          <w:rFonts w:hint="default" w:eastAsia="仿宋"/>
          <w:color w:val="auto"/>
          <w:sz w:val="28"/>
          <w:szCs w:val="28"/>
        </w:rPr>
        <w:t>（1）预防阶段。是指为预防、控制和消除环境污染事件，对人类生命、财产和环境的危害所采取的行为，包括制定安全环保管理制度、强化安全环保管理措施、实施安全环保技术标准和规范等。</w:t>
      </w:r>
    </w:p>
    <w:p>
      <w:pPr>
        <w:snapToGrid w:val="0"/>
        <w:spacing w:line="240" w:lineRule="auto"/>
        <w:ind w:firstLine="482"/>
        <w:rPr>
          <w:rFonts w:hint="default" w:eastAsia="仿宋"/>
          <w:color w:val="auto"/>
          <w:sz w:val="28"/>
          <w:szCs w:val="28"/>
        </w:rPr>
      </w:pPr>
      <w:r>
        <w:rPr>
          <w:rFonts w:hint="default" w:eastAsia="仿宋"/>
          <w:color w:val="auto"/>
          <w:sz w:val="28"/>
          <w:szCs w:val="28"/>
        </w:rPr>
        <w:t>（2）准备阶段。是在事件发生前采取的行动，包括研究国家相关法规、政策；编制、完善事件应急救援预案；开展培训和演习。</w:t>
      </w:r>
    </w:p>
    <w:p>
      <w:pPr>
        <w:snapToGrid w:val="0"/>
        <w:spacing w:line="240" w:lineRule="auto"/>
        <w:ind w:firstLine="482"/>
        <w:rPr>
          <w:rFonts w:hint="default" w:eastAsia="仿宋"/>
          <w:color w:val="auto"/>
          <w:sz w:val="28"/>
          <w:szCs w:val="28"/>
        </w:rPr>
      </w:pPr>
      <w:r>
        <w:rPr>
          <w:rFonts w:hint="default" w:eastAsia="仿宋"/>
          <w:color w:val="auto"/>
          <w:sz w:val="28"/>
          <w:szCs w:val="28"/>
        </w:rPr>
        <w:t>（3）响应阶段。是在事件发生后及事件发生期间采取救援行动的阶段，包括启动应急通告报警系统；启动应急救援中心；实施人员疏散和安置程序，实施警戒和交通管制；监测污染物浓度。</w:t>
      </w:r>
    </w:p>
    <w:p>
      <w:pPr>
        <w:snapToGrid w:val="0"/>
        <w:spacing w:line="240" w:lineRule="auto"/>
        <w:ind w:firstLine="482"/>
        <w:rPr>
          <w:rFonts w:hint="default" w:eastAsia="仿宋"/>
          <w:color w:val="auto"/>
          <w:sz w:val="28"/>
          <w:szCs w:val="28"/>
        </w:rPr>
      </w:pPr>
      <w:r>
        <w:rPr>
          <w:rFonts w:hint="default" w:eastAsia="仿宋"/>
          <w:color w:val="auto"/>
          <w:sz w:val="28"/>
          <w:szCs w:val="28"/>
        </w:rPr>
        <w:t>（4）恢复阶段。是在事件发生后立即进行的行动，包括实施应急响应关闭程序；事故调查；开展事故损失评估与索赔工作等。</w:t>
      </w:r>
    </w:p>
    <w:p>
      <w:pPr>
        <w:pStyle w:val="4"/>
        <w:keepNext/>
        <w:keepLines/>
        <w:widowControl w:val="0"/>
        <w:wordWrap/>
        <w:adjustRightInd w:val="0"/>
        <w:snapToGrid w:val="0"/>
        <w:spacing w:beforeAutospacing="0" w:line="360" w:lineRule="auto"/>
        <w:ind w:left="0"/>
        <w:jc w:val="both"/>
        <w:textAlignment w:val="auto"/>
        <w:outlineLvl w:val="0"/>
        <w:rPr>
          <w:rFonts w:hint="default" w:ascii="Times New Roman" w:hAnsi="Times New Roman" w:eastAsia="仿宋" w:cs="Times New Roman"/>
          <w:b/>
          <w:color w:val="auto"/>
          <w:sz w:val="32"/>
          <w:szCs w:val="32"/>
        </w:rPr>
      </w:pPr>
      <w:bookmarkStart w:id="168" w:name="_Toc516651819"/>
      <w:bookmarkStart w:id="169" w:name="_Toc23475"/>
      <w:bookmarkStart w:id="170" w:name="_Toc525292635"/>
      <w:r>
        <w:rPr>
          <w:rFonts w:hint="default" w:ascii="Times New Roman" w:hAnsi="Times New Roman" w:eastAsia="仿宋" w:cs="Times New Roman"/>
          <w:b/>
          <w:color w:val="auto"/>
          <w:sz w:val="32"/>
          <w:szCs w:val="32"/>
        </w:rPr>
        <w:t>2基本情况调查</w:t>
      </w:r>
      <w:bookmarkEnd w:id="168"/>
      <w:bookmarkEnd w:id="169"/>
      <w:bookmarkEnd w:id="170"/>
    </w:p>
    <w:p>
      <w:pPr>
        <w:pStyle w:val="5"/>
        <w:keepNext/>
        <w:keepLines/>
        <w:widowControl w:val="0"/>
        <w:wordWrap/>
        <w:adjustRightInd w:val="0"/>
        <w:snapToGrid w:val="0"/>
        <w:spacing w:before="0" w:beforeAutospacing="0" w:line="360" w:lineRule="auto"/>
        <w:ind w:left="0"/>
        <w:jc w:val="both"/>
        <w:textAlignment w:val="auto"/>
        <w:rPr>
          <w:rFonts w:hint="default" w:ascii="Times New Roman" w:hAnsi="Times New Roman" w:eastAsia="仿宋" w:cs="Times New Roman"/>
          <w:b/>
          <w:color w:val="auto"/>
          <w:sz w:val="30"/>
          <w:szCs w:val="30"/>
        </w:rPr>
      </w:pPr>
      <w:bookmarkStart w:id="171" w:name="_Toc525292636"/>
      <w:bookmarkStart w:id="172" w:name="_Toc15033"/>
      <w:bookmarkStart w:id="173" w:name="_Toc516651820"/>
      <w:r>
        <w:rPr>
          <w:rFonts w:hint="default" w:ascii="Times New Roman" w:hAnsi="Times New Roman" w:eastAsia="仿宋" w:cs="Times New Roman"/>
          <w:b/>
          <w:color w:val="auto"/>
          <w:sz w:val="30"/>
          <w:szCs w:val="30"/>
        </w:rPr>
        <w:t>2.1 企业基本概况</w:t>
      </w:r>
      <w:bookmarkEnd w:id="171"/>
      <w:bookmarkEnd w:id="172"/>
      <w:bookmarkEnd w:id="173"/>
    </w:p>
    <w:p>
      <w:pPr>
        <w:pStyle w:val="6"/>
        <w:keepNext/>
        <w:keepLines/>
        <w:widowControl w:val="0"/>
        <w:wordWrap/>
        <w:spacing w:before="0" w:beforeAutospacing="0" w:after="0" w:line="360" w:lineRule="auto"/>
        <w:ind w:left="0"/>
        <w:textAlignment w:val="auto"/>
        <w:outlineLvl w:val="2"/>
        <w:rPr>
          <w:rFonts w:hint="default" w:ascii="Times New Roman" w:hAnsi="Times New Roman" w:eastAsia="仿宋" w:cs="Times New Roman"/>
          <w:b/>
          <w:color w:val="auto"/>
          <w:sz w:val="28"/>
          <w:szCs w:val="28"/>
        </w:rPr>
      </w:pPr>
      <w:bookmarkStart w:id="174" w:name="_Toc516651821"/>
      <w:bookmarkStart w:id="175" w:name="_Toc30435"/>
      <w:bookmarkStart w:id="176" w:name="_Toc525292637"/>
      <w:r>
        <w:rPr>
          <w:rFonts w:hint="default" w:ascii="Times New Roman" w:hAnsi="Times New Roman" w:eastAsia="仿宋" w:cs="Times New Roman"/>
          <w:b/>
          <w:color w:val="auto"/>
          <w:sz w:val="28"/>
          <w:szCs w:val="28"/>
        </w:rPr>
        <w:t>2.1.1企业简介</w:t>
      </w:r>
      <w:bookmarkEnd w:id="174"/>
      <w:bookmarkEnd w:id="175"/>
      <w:bookmarkEnd w:id="176"/>
    </w:p>
    <w:p>
      <w:pPr>
        <w:snapToGrid w:val="0"/>
        <w:spacing w:line="500" w:lineRule="exact"/>
        <w:ind w:firstLine="482"/>
        <w:rPr>
          <w:rFonts w:hint="eastAsia" w:eastAsia="仿宋"/>
          <w:color w:val="auto"/>
          <w:sz w:val="28"/>
          <w:szCs w:val="28"/>
        </w:rPr>
      </w:pPr>
      <w:bookmarkStart w:id="177" w:name="_Toc525292638"/>
      <w:r>
        <w:rPr>
          <w:rFonts w:hint="default" w:ascii="Times New Roman" w:hAnsi="Times New Roman" w:eastAsia="仿宋" w:cs="Times New Roman"/>
          <w:color w:val="auto"/>
          <w:sz w:val="28"/>
          <w:szCs w:val="28"/>
        </w:rPr>
        <w:t>企业基本概况见“风险评估报告”第3.1.1节</w:t>
      </w:r>
      <w:r>
        <w:rPr>
          <w:rFonts w:hint="eastAsia" w:eastAsia="仿宋"/>
          <w:color w:val="auto"/>
          <w:sz w:val="28"/>
          <w:szCs w:val="28"/>
        </w:rPr>
        <w:t>。</w:t>
      </w:r>
      <w:bookmarkEnd w:id="177"/>
      <w:bookmarkStart w:id="178" w:name="_Toc516651822"/>
    </w:p>
    <w:p>
      <w:pPr>
        <w:pStyle w:val="6"/>
        <w:widowControl w:val="0"/>
        <w:wordWrap/>
        <w:spacing w:before="0" w:beforeAutospacing="0" w:line="360" w:lineRule="auto"/>
        <w:ind w:left="0"/>
        <w:textAlignment w:val="auto"/>
        <w:outlineLvl w:val="2"/>
        <w:rPr>
          <w:rFonts w:hint="default" w:ascii="Times New Roman" w:hAnsi="Times New Roman" w:eastAsia="仿宋" w:cs="Times New Roman"/>
          <w:b/>
          <w:color w:val="auto"/>
          <w:sz w:val="28"/>
          <w:szCs w:val="28"/>
        </w:rPr>
      </w:pPr>
      <w:bookmarkStart w:id="179" w:name="_Toc525292639"/>
      <w:bookmarkStart w:id="180" w:name="_Toc23266"/>
      <w:r>
        <w:rPr>
          <w:rFonts w:hint="eastAsia" w:ascii="Times New Roman" w:hAnsi="Times New Roman" w:eastAsia="仿宋" w:cs="Times New Roman"/>
          <w:b/>
          <w:color w:val="auto"/>
          <w:sz w:val="28"/>
          <w:szCs w:val="28"/>
        </w:rPr>
        <w:t>2.1.2自然环境状况</w:t>
      </w:r>
      <w:bookmarkEnd w:id="178"/>
      <w:bookmarkEnd w:id="179"/>
      <w:bookmarkEnd w:id="180"/>
    </w:p>
    <w:p>
      <w:pPr>
        <w:widowControl w:val="0"/>
        <w:shd w:val="clear" w:color="auto" w:fill="FFFFFF"/>
        <w:wordWrap/>
        <w:snapToGrid w:val="0"/>
        <w:spacing w:beforeAutospacing="0" w:line="360" w:lineRule="auto"/>
        <w:textAlignment w:val="auto"/>
        <w:rPr>
          <w:rFonts w:hint="default" w:ascii="Times New Roman" w:hAnsi="Times New Roman" w:eastAsia="仿宋" w:cs="Times New Roman"/>
          <w:b/>
          <w:color w:val="auto"/>
          <w:sz w:val="28"/>
          <w:szCs w:val="28"/>
        </w:rPr>
      </w:pPr>
      <w:r>
        <w:rPr>
          <w:rFonts w:hint="default" w:ascii="Times New Roman" w:hAnsi="Times New Roman" w:eastAsia="仿宋" w:cs="Times New Roman"/>
          <w:b/>
          <w:color w:val="auto"/>
          <w:sz w:val="28"/>
          <w:szCs w:val="28"/>
        </w:rPr>
        <w:t>2.1.2.1地理位置</w:t>
      </w:r>
    </w:p>
    <w:p>
      <w:pPr>
        <w:widowControl w:val="0"/>
        <w:wordWrap/>
        <w:snapToGrid w:val="0"/>
        <w:spacing w:beforeAutospacing="0" w:line="360" w:lineRule="auto"/>
        <w:ind w:firstLine="482"/>
        <w:textAlignment w:val="auto"/>
        <w:rPr>
          <w:rFonts w:hint="default" w:ascii="Times New Roman" w:hAnsi="Times New Roman" w:eastAsia="仿宋" w:cs="Times New Roman"/>
          <w:color w:val="auto"/>
          <w:sz w:val="28"/>
          <w:szCs w:val="28"/>
        </w:rPr>
      </w:pPr>
      <w:bookmarkStart w:id="181" w:name="_Toc525292640"/>
      <w:bookmarkStart w:id="182" w:name="_Toc516651823"/>
      <w:r>
        <w:rPr>
          <w:rFonts w:hint="default" w:ascii="Times New Roman" w:hAnsi="Times New Roman" w:eastAsia="仿宋" w:cs="Times New Roman"/>
          <w:color w:val="auto"/>
          <w:sz w:val="28"/>
          <w:szCs w:val="28"/>
        </w:rPr>
        <w:t>地理位置见“风险评估报告”第3.1.2.1节。</w:t>
      </w:r>
      <w:bookmarkEnd w:id="181"/>
    </w:p>
    <w:p>
      <w:pPr>
        <w:widowControl w:val="0"/>
        <w:wordWrap/>
        <w:spacing w:before="0" w:beforeAutospacing="0" w:line="360" w:lineRule="auto"/>
        <w:ind w:left="0"/>
        <w:textAlignment w:val="auto"/>
        <w:outlineLvl w:val="9"/>
        <w:rPr>
          <w:rFonts w:hint="default" w:ascii="Times New Roman" w:hAnsi="Times New Roman" w:cs="Times New Roman"/>
          <w:color w:val="auto"/>
          <w:szCs w:val="30"/>
        </w:rPr>
      </w:pPr>
      <w:bookmarkStart w:id="183" w:name="_Toc525292641"/>
      <w:r>
        <w:rPr>
          <w:rFonts w:hint="default" w:ascii="Times New Roman" w:hAnsi="Times New Roman" w:cs="Times New Roman"/>
          <w:b/>
          <w:color w:val="auto"/>
          <w:sz w:val="28"/>
          <w:szCs w:val="28"/>
        </w:rPr>
        <w:t>2.1.2.2地形地貌</w:t>
      </w:r>
      <w:bookmarkEnd w:id="183"/>
    </w:p>
    <w:p>
      <w:pPr>
        <w:widowControl w:val="0"/>
        <w:wordWrap/>
        <w:snapToGrid w:val="0"/>
        <w:spacing w:beforeAutospacing="0" w:line="360" w:lineRule="auto"/>
        <w:ind w:firstLine="482"/>
        <w:textAlignment w:val="auto"/>
        <w:rPr>
          <w:rFonts w:hint="default" w:ascii="Times New Roman" w:hAnsi="Times New Roman" w:eastAsia="仿宋" w:cs="Times New Roman"/>
          <w:color w:val="auto"/>
          <w:sz w:val="28"/>
          <w:szCs w:val="28"/>
        </w:rPr>
      </w:pPr>
      <w:bookmarkStart w:id="184" w:name="_Toc525292642"/>
      <w:r>
        <w:rPr>
          <w:rFonts w:hint="default" w:ascii="Times New Roman" w:hAnsi="Times New Roman" w:eastAsia="仿宋" w:cs="Times New Roman"/>
          <w:color w:val="auto"/>
          <w:sz w:val="28"/>
          <w:szCs w:val="28"/>
        </w:rPr>
        <w:t>地形地貌见“风险评估报告”第3.1.2.2节。</w:t>
      </w:r>
      <w:bookmarkEnd w:id="184"/>
    </w:p>
    <w:p>
      <w:pPr>
        <w:pStyle w:val="5"/>
        <w:keepNext/>
        <w:keepLines/>
        <w:widowControl w:val="0"/>
        <w:wordWrap/>
        <w:adjustRightInd w:val="0"/>
        <w:snapToGrid w:val="0"/>
        <w:spacing w:before="0" w:beforeAutospacing="0" w:line="360" w:lineRule="auto"/>
        <w:ind w:left="0"/>
        <w:jc w:val="both"/>
        <w:textAlignment w:val="auto"/>
        <w:rPr>
          <w:rFonts w:hint="default" w:ascii="Times New Roman" w:hAnsi="Times New Roman" w:eastAsia="仿宋" w:cs="Times New Roman"/>
          <w:b/>
          <w:color w:val="auto"/>
          <w:sz w:val="30"/>
          <w:szCs w:val="30"/>
        </w:rPr>
      </w:pPr>
      <w:bookmarkStart w:id="185" w:name="_Toc14556"/>
      <w:bookmarkStart w:id="186" w:name="_Toc525292643"/>
      <w:r>
        <w:rPr>
          <w:rFonts w:hint="eastAsia" w:ascii="Times New Roman" w:hAnsi="Times New Roman" w:eastAsia="仿宋" w:cs="Times New Roman"/>
          <w:b/>
          <w:color w:val="auto"/>
          <w:sz w:val="30"/>
          <w:szCs w:val="30"/>
        </w:rPr>
        <w:t>2</w:t>
      </w:r>
      <w:r>
        <w:rPr>
          <w:rFonts w:hint="default" w:ascii="Times New Roman" w:hAnsi="Times New Roman" w:eastAsia="仿宋" w:cs="Times New Roman"/>
          <w:b/>
          <w:color w:val="auto"/>
          <w:sz w:val="30"/>
          <w:szCs w:val="30"/>
        </w:rPr>
        <w:t>.</w:t>
      </w:r>
      <w:r>
        <w:rPr>
          <w:rFonts w:hint="eastAsia" w:ascii="Times New Roman" w:hAnsi="Times New Roman" w:eastAsia="仿宋" w:cs="Times New Roman"/>
          <w:b/>
          <w:color w:val="auto"/>
          <w:sz w:val="30"/>
          <w:szCs w:val="30"/>
        </w:rPr>
        <w:t>2</w:t>
      </w:r>
      <w:r>
        <w:rPr>
          <w:rFonts w:hint="default" w:ascii="Times New Roman" w:hAnsi="Times New Roman" w:eastAsia="仿宋" w:cs="Times New Roman"/>
          <w:b/>
          <w:color w:val="auto"/>
          <w:sz w:val="30"/>
          <w:szCs w:val="30"/>
        </w:rPr>
        <w:t>环境风险源基本情况调查</w:t>
      </w:r>
      <w:bookmarkEnd w:id="182"/>
      <w:bookmarkEnd w:id="185"/>
      <w:bookmarkEnd w:id="186"/>
    </w:p>
    <w:p>
      <w:pPr>
        <w:pStyle w:val="6"/>
        <w:widowControl w:val="0"/>
        <w:wordWrap/>
        <w:spacing w:before="0" w:beforeAutospacing="0" w:line="360" w:lineRule="auto"/>
        <w:ind w:left="0"/>
        <w:textAlignment w:val="auto"/>
        <w:outlineLvl w:val="2"/>
        <w:rPr>
          <w:rFonts w:hint="eastAsia" w:ascii="Times New Roman" w:hAnsi="Times New Roman" w:eastAsia="仿宋" w:cs="Times New Roman"/>
          <w:b/>
          <w:color w:val="auto"/>
          <w:sz w:val="28"/>
          <w:szCs w:val="28"/>
        </w:rPr>
      </w:pPr>
      <w:bookmarkStart w:id="187" w:name="_Toc18111"/>
      <w:bookmarkStart w:id="188" w:name="_Toc516651824"/>
      <w:bookmarkStart w:id="189" w:name="_Toc525292644"/>
      <w:r>
        <w:rPr>
          <w:rFonts w:hint="eastAsia" w:ascii="Times New Roman" w:hAnsi="Times New Roman" w:eastAsia="仿宋" w:cs="Times New Roman"/>
          <w:b/>
          <w:color w:val="auto"/>
          <w:sz w:val="28"/>
          <w:szCs w:val="28"/>
        </w:rPr>
        <w:t>2.2.1主要建（构）筑物及产品方案</w:t>
      </w:r>
      <w:bookmarkEnd w:id="187"/>
      <w:bookmarkEnd w:id="188"/>
      <w:bookmarkEnd w:id="189"/>
    </w:p>
    <w:p>
      <w:pPr>
        <w:widowControl w:val="0"/>
        <w:wordWrap/>
        <w:snapToGrid w:val="0"/>
        <w:spacing w:beforeAutospacing="0" w:line="360" w:lineRule="auto"/>
        <w:ind w:firstLine="482"/>
        <w:textAlignment w:val="auto"/>
        <w:rPr>
          <w:rFonts w:hint="eastAsia"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公司主要建（构）筑物见表2.2-1，产品方案见表</w:t>
      </w:r>
      <w:r>
        <w:rPr>
          <w:rFonts w:hint="default" w:ascii="Times New Roman" w:hAnsi="Times New Roman" w:eastAsia="仿宋" w:cs="Times New Roman"/>
          <w:color w:val="auto"/>
          <w:sz w:val="28"/>
          <w:szCs w:val="28"/>
        </w:rPr>
        <w:t xml:space="preserve"> </w:t>
      </w:r>
      <w:r>
        <w:rPr>
          <w:rFonts w:hint="eastAsia" w:ascii="Times New Roman" w:hAnsi="Times New Roman" w:eastAsia="仿宋" w:cs="Times New Roman"/>
          <w:color w:val="auto"/>
          <w:sz w:val="28"/>
          <w:szCs w:val="28"/>
        </w:rPr>
        <w:t>2</w:t>
      </w:r>
      <w:r>
        <w:rPr>
          <w:rFonts w:hint="default" w:ascii="Times New Roman" w:hAnsi="Times New Roman" w:eastAsia="仿宋" w:cs="Times New Roman"/>
          <w:color w:val="auto"/>
          <w:sz w:val="28"/>
          <w:szCs w:val="28"/>
        </w:rPr>
        <w:t>.</w:t>
      </w:r>
      <w:r>
        <w:rPr>
          <w:rFonts w:hint="eastAsia" w:ascii="Times New Roman" w:hAnsi="Times New Roman" w:eastAsia="仿宋" w:cs="Times New Roman"/>
          <w:color w:val="auto"/>
          <w:sz w:val="28"/>
          <w:szCs w:val="28"/>
        </w:rPr>
        <w:t>2</w:t>
      </w:r>
      <w:r>
        <w:rPr>
          <w:rFonts w:hint="default" w:ascii="Times New Roman" w:hAnsi="Times New Roman" w:eastAsia="仿宋" w:cs="Times New Roman"/>
          <w:color w:val="auto"/>
          <w:sz w:val="28"/>
          <w:szCs w:val="28"/>
        </w:rPr>
        <w:t>-</w:t>
      </w:r>
      <w:r>
        <w:rPr>
          <w:rFonts w:hint="eastAsia" w:ascii="Times New Roman" w:hAnsi="Times New Roman" w:eastAsia="仿宋" w:cs="Times New Roman"/>
          <w:color w:val="auto"/>
          <w:sz w:val="28"/>
          <w:szCs w:val="28"/>
        </w:rPr>
        <w:t>2。</w:t>
      </w:r>
    </w:p>
    <w:p>
      <w:pPr>
        <w:snapToGrid w:val="0"/>
        <w:jc w:val="center"/>
        <w:rPr>
          <w:rFonts w:hint="default" w:ascii="Times New Roman" w:hAnsi="Times New Roman" w:eastAsia="仿宋" w:cs="Times New Roman"/>
          <w:b/>
          <w:bCs/>
          <w:color w:val="auto"/>
          <w:sz w:val="24"/>
          <w:szCs w:val="24"/>
          <w:highlight w:val="none"/>
        </w:rPr>
      </w:pPr>
      <w:r>
        <w:rPr>
          <w:rFonts w:hint="default" w:ascii="Times New Roman" w:hAnsi="Times New Roman" w:eastAsia="仿宋" w:cs="Times New Roman"/>
          <w:b/>
          <w:bCs/>
          <w:color w:val="auto"/>
          <w:sz w:val="24"/>
          <w:szCs w:val="24"/>
          <w:highlight w:val="none"/>
        </w:rPr>
        <w:t>表2.2-1主要建（构）筑物一览表</w:t>
      </w:r>
    </w:p>
    <w:tbl>
      <w:tblPr>
        <w:tblStyle w:val="21"/>
        <w:tblW w:w="8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397"/>
        <w:gridCol w:w="1556"/>
        <w:gridCol w:w="1390"/>
        <w:gridCol w:w="850"/>
        <w:gridCol w:w="851"/>
        <w:gridCol w:w="979"/>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1397"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建筑物称</w:t>
            </w:r>
          </w:p>
        </w:tc>
        <w:tc>
          <w:tcPr>
            <w:tcW w:w="1556"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建筑面积（m</w:t>
            </w:r>
            <w:r>
              <w:rPr>
                <w:rFonts w:hint="default" w:ascii="Times New Roman" w:hAnsi="Times New Roman" w:eastAsia="仿宋" w:cs="Times New Roman"/>
                <w:b/>
                <w:color w:val="auto"/>
                <w:sz w:val="21"/>
                <w:szCs w:val="21"/>
                <w:vertAlign w:val="superscript"/>
              </w:rPr>
              <w:t>2</w:t>
            </w:r>
            <w:r>
              <w:rPr>
                <w:rFonts w:hint="default" w:ascii="Times New Roman" w:hAnsi="Times New Roman" w:eastAsia="仿宋" w:cs="Times New Roman"/>
                <w:b/>
                <w:color w:val="auto"/>
                <w:sz w:val="21"/>
                <w:szCs w:val="21"/>
              </w:rPr>
              <w:t>）</w:t>
            </w:r>
          </w:p>
        </w:tc>
        <w:tc>
          <w:tcPr>
            <w:tcW w:w="1390"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建筑结构</w:t>
            </w:r>
          </w:p>
        </w:tc>
        <w:tc>
          <w:tcPr>
            <w:tcW w:w="850"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火灾危险类别</w:t>
            </w:r>
          </w:p>
        </w:tc>
        <w:tc>
          <w:tcPr>
            <w:tcW w:w="851"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耐火</w:t>
            </w:r>
          </w:p>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等级</w:t>
            </w:r>
          </w:p>
        </w:tc>
        <w:tc>
          <w:tcPr>
            <w:tcW w:w="979"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层数</w:t>
            </w:r>
          </w:p>
        </w:tc>
        <w:tc>
          <w:tcPr>
            <w:tcW w:w="1124"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39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1#车间</w:t>
            </w:r>
          </w:p>
        </w:tc>
        <w:tc>
          <w:tcPr>
            <w:tcW w:w="1556"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1039.91 </w:t>
            </w:r>
          </w:p>
        </w:tc>
        <w:tc>
          <w:tcPr>
            <w:tcW w:w="139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门式刚架</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乙</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979"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1</w:t>
            </w:r>
          </w:p>
        </w:tc>
        <w:tc>
          <w:tcPr>
            <w:tcW w:w="1124"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39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2#车间</w:t>
            </w:r>
          </w:p>
        </w:tc>
        <w:tc>
          <w:tcPr>
            <w:tcW w:w="1556"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1422.23 </w:t>
            </w:r>
          </w:p>
        </w:tc>
        <w:tc>
          <w:tcPr>
            <w:tcW w:w="139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门式刚架</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甲</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979"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1</w:t>
            </w:r>
          </w:p>
        </w:tc>
        <w:tc>
          <w:tcPr>
            <w:tcW w:w="1124"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39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1#仓库</w:t>
            </w:r>
          </w:p>
        </w:tc>
        <w:tc>
          <w:tcPr>
            <w:tcW w:w="1556"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1113.35 </w:t>
            </w:r>
          </w:p>
        </w:tc>
        <w:tc>
          <w:tcPr>
            <w:tcW w:w="139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门式刚架</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丙</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979"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1</w:t>
            </w:r>
          </w:p>
        </w:tc>
        <w:tc>
          <w:tcPr>
            <w:tcW w:w="1124"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39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2#仓库</w:t>
            </w:r>
          </w:p>
        </w:tc>
        <w:tc>
          <w:tcPr>
            <w:tcW w:w="1556"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657.59 </w:t>
            </w:r>
          </w:p>
        </w:tc>
        <w:tc>
          <w:tcPr>
            <w:tcW w:w="139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门式刚架</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甲</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979"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1</w:t>
            </w:r>
          </w:p>
        </w:tc>
        <w:tc>
          <w:tcPr>
            <w:tcW w:w="1124"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39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3#仓库</w:t>
            </w:r>
          </w:p>
        </w:tc>
        <w:tc>
          <w:tcPr>
            <w:tcW w:w="1556"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750.47 </w:t>
            </w:r>
          </w:p>
        </w:tc>
        <w:tc>
          <w:tcPr>
            <w:tcW w:w="139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门式刚架</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丁</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979"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1</w:t>
            </w:r>
          </w:p>
        </w:tc>
        <w:tc>
          <w:tcPr>
            <w:tcW w:w="1124"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139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五金仓库</w:t>
            </w:r>
          </w:p>
        </w:tc>
        <w:tc>
          <w:tcPr>
            <w:tcW w:w="1556"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1358.15 </w:t>
            </w:r>
          </w:p>
        </w:tc>
        <w:tc>
          <w:tcPr>
            <w:tcW w:w="139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门式刚架</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戊</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979"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1</w:t>
            </w:r>
          </w:p>
        </w:tc>
        <w:tc>
          <w:tcPr>
            <w:tcW w:w="1124"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w:t>
            </w:r>
          </w:p>
        </w:tc>
        <w:tc>
          <w:tcPr>
            <w:tcW w:w="1397"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罐组一</w:t>
            </w:r>
          </w:p>
        </w:tc>
        <w:tc>
          <w:tcPr>
            <w:tcW w:w="1556"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660.43 </w:t>
            </w:r>
          </w:p>
        </w:tc>
        <w:tc>
          <w:tcPr>
            <w:tcW w:w="139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钢筋混凝土</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丙</w:t>
            </w:r>
            <w:r>
              <w:rPr>
                <w:rFonts w:hint="default" w:ascii="Times New Roman" w:hAnsi="Times New Roman" w:eastAsia="仿宋" w:cs="Times New Roman"/>
                <w:color w:val="auto"/>
                <w:sz w:val="21"/>
                <w:szCs w:val="21"/>
                <w:vertAlign w:val="subscript"/>
              </w:rPr>
              <w:t>A</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979"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w:t>
            </w:r>
          </w:p>
        </w:tc>
        <w:tc>
          <w:tcPr>
            <w:tcW w:w="1124"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1397"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罐组二</w:t>
            </w:r>
          </w:p>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（埋地）</w:t>
            </w:r>
          </w:p>
        </w:tc>
        <w:tc>
          <w:tcPr>
            <w:tcW w:w="1556"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364.98 </w:t>
            </w:r>
          </w:p>
        </w:tc>
        <w:tc>
          <w:tcPr>
            <w:tcW w:w="139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钢筋混凝土</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甲</w:t>
            </w:r>
            <w:r>
              <w:rPr>
                <w:rFonts w:hint="default" w:ascii="Times New Roman" w:hAnsi="Times New Roman" w:eastAsia="仿宋" w:cs="Times New Roman"/>
                <w:color w:val="auto"/>
                <w:sz w:val="21"/>
                <w:szCs w:val="21"/>
                <w:vertAlign w:val="subscript"/>
              </w:rPr>
              <w:t>B</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979"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w:t>
            </w:r>
          </w:p>
        </w:tc>
        <w:tc>
          <w:tcPr>
            <w:tcW w:w="1124"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丙烯酸储罐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w:t>
            </w:r>
          </w:p>
        </w:tc>
        <w:tc>
          <w:tcPr>
            <w:tcW w:w="1397"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罐组三</w:t>
            </w:r>
          </w:p>
        </w:tc>
        <w:tc>
          <w:tcPr>
            <w:tcW w:w="1556"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1150.00 </w:t>
            </w:r>
          </w:p>
        </w:tc>
        <w:tc>
          <w:tcPr>
            <w:tcW w:w="139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钢筋混凝土</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丁</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979"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w:t>
            </w:r>
          </w:p>
        </w:tc>
        <w:tc>
          <w:tcPr>
            <w:tcW w:w="1124"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c>
          <w:tcPr>
            <w:tcW w:w="1397"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污水处理站</w:t>
            </w:r>
          </w:p>
        </w:tc>
        <w:tc>
          <w:tcPr>
            <w:tcW w:w="1556" w:type="dxa"/>
            <w:vAlign w:val="center"/>
          </w:tcPr>
          <w:p>
            <w:pPr>
              <w:jc w:val="center"/>
              <w:rPr>
                <w:rFonts w:hint="default" w:ascii="Times New Roman" w:hAnsi="Times New Roman" w:eastAsia="仿宋" w:cs="Times New Roman"/>
                <w:color w:val="auto"/>
                <w:sz w:val="21"/>
                <w:szCs w:val="21"/>
              </w:rPr>
            </w:pPr>
          </w:p>
        </w:tc>
        <w:tc>
          <w:tcPr>
            <w:tcW w:w="139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钢筋混凝土</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979"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w:t>
            </w:r>
          </w:p>
        </w:tc>
        <w:tc>
          <w:tcPr>
            <w:tcW w:w="1124"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w:t>
            </w:r>
          </w:p>
        </w:tc>
        <w:tc>
          <w:tcPr>
            <w:tcW w:w="1397"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研发中心</w:t>
            </w:r>
          </w:p>
        </w:tc>
        <w:tc>
          <w:tcPr>
            <w:tcW w:w="1556"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5706.04 </w:t>
            </w:r>
          </w:p>
        </w:tc>
        <w:tc>
          <w:tcPr>
            <w:tcW w:w="139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框架</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97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w:t>
            </w:r>
          </w:p>
        </w:tc>
        <w:tc>
          <w:tcPr>
            <w:tcW w:w="1124"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w:t>
            </w:r>
          </w:p>
        </w:tc>
        <w:tc>
          <w:tcPr>
            <w:tcW w:w="1397"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空压、冷冻房</w:t>
            </w:r>
          </w:p>
        </w:tc>
        <w:tc>
          <w:tcPr>
            <w:tcW w:w="1556"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189.00 </w:t>
            </w:r>
          </w:p>
        </w:tc>
        <w:tc>
          <w:tcPr>
            <w:tcW w:w="139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门式刚架</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丁</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97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124"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w:t>
            </w:r>
          </w:p>
        </w:tc>
        <w:tc>
          <w:tcPr>
            <w:tcW w:w="1397" w:type="dxa"/>
            <w:vAlign w:val="center"/>
          </w:tcPr>
          <w:p>
            <w:pPr>
              <w:autoSpaceDE w:val="0"/>
              <w:autoSpaceDN w:val="0"/>
              <w:adjustRightIn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消防和</w:t>
            </w:r>
          </w:p>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循环水池</w:t>
            </w:r>
          </w:p>
        </w:tc>
        <w:tc>
          <w:tcPr>
            <w:tcW w:w="1556"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289.79 </w:t>
            </w:r>
          </w:p>
        </w:tc>
        <w:tc>
          <w:tcPr>
            <w:tcW w:w="139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钢筋混凝土</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97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1124"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w:t>
            </w:r>
          </w:p>
        </w:tc>
        <w:tc>
          <w:tcPr>
            <w:tcW w:w="1397"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事故应急和</w:t>
            </w:r>
          </w:p>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初期雨水池</w:t>
            </w:r>
          </w:p>
        </w:tc>
        <w:tc>
          <w:tcPr>
            <w:tcW w:w="1556"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495.69 </w:t>
            </w:r>
          </w:p>
        </w:tc>
        <w:tc>
          <w:tcPr>
            <w:tcW w:w="139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钢筋混凝土</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97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1124"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w:t>
            </w:r>
          </w:p>
        </w:tc>
        <w:tc>
          <w:tcPr>
            <w:tcW w:w="1397"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门卫</w:t>
            </w:r>
          </w:p>
        </w:tc>
        <w:tc>
          <w:tcPr>
            <w:tcW w:w="1556"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69.65</w:t>
            </w:r>
          </w:p>
        </w:tc>
        <w:tc>
          <w:tcPr>
            <w:tcW w:w="139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砖混</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97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124"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16</w:t>
            </w:r>
          </w:p>
        </w:tc>
        <w:tc>
          <w:tcPr>
            <w:tcW w:w="1397"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配电室</w:t>
            </w:r>
          </w:p>
        </w:tc>
        <w:tc>
          <w:tcPr>
            <w:tcW w:w="1556"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251.70 </w:t>
            </w:r>
          </w:p>
        </w:tc>
        <w:tc>
          <w:tcPr>
            <w:tcW w:w="139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框架</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丙</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97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124"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5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17</w:t>
            </w:r>
          </w:p>
        </w:tc>
        <w:tc>
          <w:tcPr>
            <w:tcW w:w="1397" w:type="dxa"/>
            <w:vAlign w:val="center"/>
          </w:tcPr>
          <w:p>
            <w:pPr>
              <w:autoSpaceDE w:val="0"/>
              <w:autoSpaceDN w:val="0"/>
              <w:adjustRightIn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泵房</w:t>
            </w:r>
          </w:p>
        </w:tc>
        <w:tc>
          <w:tcPr>
            <w:tcW w:w="1556" w:type="dxa"/>
            <w:vAlign w:val="center"/>
          </w:tcPr>
          <w:p>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 xml:space="preserve">291.86 </w:t>
            </w:r>
          </w:p>
        </w:tc>
        <w:tc>
          <w:tcPr>
            <w:tcW w:w="139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砖混</w:t>
            </w:r>
          </w:p>
        </w:tc>
        <w:tc>
          <w:tcPr>
            <w:tcW w:w="850"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丁</w:t>
            </w:r>
          </w:p>
        </w:tc>
        <w:tc>
          <w:tcPr>
            <w:tcW w:w="851"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二级</w:t>
            </w:r>
          </w:p>
        </w:tc>
        <w:tc>
          <w:tcPr>
            <w:tcW w:w="979"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124" w:type="dxa"/>
            <w:vAlign w:val="center"/>
          </w:tcPr>
          <w:p>
            <w:pPr>
              <w:jc w:val="center"/>
              <w:rPr>
                <w:rFonts w:hint="default" w:ascii="Times New Roman" w:hAnsi="Times New Roman" w:eastAsia="仿宋" w:cs="Times New Roman"/>
                <w:color w:val="auto"/>
                <w:sz w:val="21"/>
                <w:szCs w:val="21"/>
              </w:rPr>
            </w:pPr>
          </w:p>
        </w:tc>
      </w:tr>
    </w:tbl>
    <w:p>
      <w:pPr>
        <w:snapToGrid w:val="0"/>
        <w:spacing w:beforeLines="50" w:afterLines="5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表2.2-2 公司现有产品方案一览表</w:t>
      </w:r>
    </w:p>
    <w:tbl>
      <w:tblPr>
        <w:tblStyle w:val="21"/>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282"/>
        <w:gridCol w:w="850"/>
        <w:gridCol w:w="1843"/>
        <w:gridCol w:w="722"/>
        <w:gridCol w:w="1324"/>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8" w:type="dxa"/>
            <w:vAlign w:val="center"/>
          </w:tcPr>
          <w:p>
            <w:pPr>
              <w:pStyle w:val="32"/>
              <w:snapToGrid w:val="0"/>
              <w:spacing w:line="240" w:lineRule="auto"/>
              <w:rPr>
                <w:rFonts w:hint="default" w:ascii="Times New Roman" w:hAnsi="Times New Roman" w:eastAsia="仿宋" w:cs="Times New Roman"/>
                <w:color w:val="auto"/>
              </w:rPr>
            </w:pPr>
            <w:r>
              <w:rPr>
                <w:rFonts w:hint="default" w:ascii="Times New Roman" w:hAnsi="Times New Roman" w:eastAsia="仿宋" w:cs="Times New Roman"/>
                <w:color w:val="auto"/>
              </w:rPr>
              <w:t>工程名称</w:t>
            </w:r>
          </w:p>
        </w:tc>
        <w:tc>
          <w:tcPr>
            <w:tcW w:w="1282" w:type="dxa"/>
            <w:vAlign w:val="center"/>
          </w:tcPr>
          <w:p>
            <w:pPr>
              <w:pStyle w:val="32"/>
              <w:snapToGrid w:val="0"/>
              <w:spacing w:line="240" w:lineRule="auto"/>
              <w:rPr>
                <w:rFonts w:hint="default" w:ascii="Times New Roman" w:hAnsi="Times New Roman" w:eastAsia="仿宋" w:cs="Times New Roman"/>
                <w:color w:val="auto"/>
              </w:rPr>
            </w:pPr>
            <w:r>
              <w:rPr>
                <w:rFonts w:hint="default" w:ascii="Times New Roman" w:hAnsi="Times New Roman" w:eastAsia="仿宋" w:cs="Times New Roman"/>
                <w:color w:val="auto"/>
              </w:rPr>
              <w:t>产品名称</w:t>
            </w:r>
          </w:p>
        </w:tc>
        <w:tc>
          <w:tcPr>
            <w:tcW w:w="850" w:type="dxa"/>
            <w:vAlign w:val="center"/>
          </w:tcPr>
          <w:p>
            <w:pPr>
              <w:pStyle w:val="32"/>
              <w:snapToGrid w:val="0"/>
              <w:spacing w:line="240" w:lineRule="auto"/>
              <w:rPr>
                <w:rFonts w:hint="default" w:ascii="Times New Roman" w:hAnsi="Times New Roman" w:eastAsia="仿宋" w:cs="Times New Roman"/>
                <w:color w:val="auto"/>
              </w:rPr>
            </w:pPr>
            <w:r>
              <w:rPr>
                <w:rFonts w:hint="default" w:ascii="Times New Roman" w:hAnsi="Times New Roman" w:eastAsia="仿宋" w:cs="Times New Roman"/>
                <w:color w:val="auto"/>
              </w:rPr>
              <w:t>形态</w:t>
            </w:r>
          </w:p>
        </w:tc>
        <w:tc>
          <w:tcPr>
            <w:tcW w:w="1843" w:type="dxa"/>
            <w:vAlign w:val="center"/>
          </w:tcPr>
          <w:p>
            <w:pPr>
              <w:pStyle w:val="32"/>
              <w:snapToGrid w:val="0"/>
              <w:spacing w:line="240" w:lineRule="auto"/>
              <w:rPr>
                <w:rFonts w:hint="default" w:ascii="Times New Roman" w:hAnsi="Times New Roman" w:eastAsia="仿宋" w:cs="Times New Roman"/>
                <w:color w:val="auto"/>
              </w:rPr>
            </w:pPr>
            <w:r>
              <w:rPr>
                <w:rFonts w:hint="default" w:ascii="Times New Roman" w:hAnsi="Times New Roman" w:eastAsia="仿宋" w:cs="Times New Roman"/>
                <w:color w:val="auto"/>
              </w:rPr>
              <w:t>产品规格</w:t>
            </w:r>
          </w:p>
        </w:tc>
        <w:tc>
          <w:tcPr>
            <w:tcW w:w="722" w:type="dxa"/>
            <w:vAlign w:val="center"/>
          </w:tcPr>
          <w:p>
            <w:pPr>
              <w:pStyle w:val="32"/>
              <w:snapToGrid w:val="0"/>
              <w:spacing w:line="240" w:lineRule="auto"/>
              <w:rPr>
                <w:rFonts w:hint="default" w:ascii="Times New Roman" w:hAnsi="Times New Roman" w:eastAsia="仿宋" w:cs="Times New Roman"/>
                <w:color w:val="auto"/>
              </w:rPr>
            </w:pPr>
            <w:r>
              <w:rPr>
                <w:rFonts w:hint="default" w:ascii="Times New Roman" w:hAnsi="Times New Roman" w:eastAsia="仿宋" w:cs="Times New Roman"/>
                <w:color w:val="auto"/>
              </w:rPr>
              <w:t>生产能力</w:t>
            </w:r>
          </w:p>
        </w:tc>
        <w:tc>
          <w:tcPr>
            <w:tcW w:w="1324" w:type="dxa"/>
            <w:vAlign w:val="center"/>
          </w:tcPr>
          <w:p>
            <w:pPr>
              <w:pStyle w:val="32"/>
              <w:snapToGrid w:val="0"/>
              <w:spacing w:line="240" w:lineRule="auto"/>
              <w:rPr>
                <w:rFonts w:hint="default" w:ascii="Times New Roman" w:hAnsi="Times New Roman" w:eastAsia="仿宋" w:cs="Times New Roman"/>
                <w:color w:val="auto"/>
              </w:rPr>
            </w:pPr>
            <w:r>
              <w:rPr>
                <w:rFonts w:hint="default" w:ascii="Times New Roman" w:hAnsi="Times New Roman" w:eastAsia="仿宋" w:cs="Times New Roman"/>
                <w:color w:val="auto"/>
              </w:rPr>
              <w:t>年运行时数（h）</w:t>
            </w:r>
          </w:p>
        </w:tc>
        <w:tc>
          <w:tcPr>
            <w:tcW w:w="931" w:type="dxa"/>
            <w:vAlign w:val="center"/>
          </w:tcPr>
          <w:p>
            <w:pPr>
              <w:pStyle w:val="32"/>
              <w:snapToGrid w:val="0"/>
              <w:spacing w:line="240" w:lineRule="auto"/>
              <w:rPr>
                <w:rFonts w:hint="default" w:ascii="Times New Roman" w:hAnsi="Times New Roman" w:eastAsia="仿宋" w:cs="Times New Roman"/>
                <w:color w:val="auto"/>
              </w:rPr>
            </w:pPr>
            <w:r>
              <w:rPr>
                <w:rFonts w:hint="default" w:ascii="Times New Roman" w:hAnsi="Times New Roman" w:eastAsia="仿宋" w:cs="Times New Roman"/>
                <w:color w:val="auto"/>
              </w:rPr>
              <w:t>最大储存量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8" w:type="dxa"/>
            <w:vAlign w:val="center"/>
          </w:tcPr>
          <w:p>
            <w:pPr>
              <w:pStyle w:val="32"/>
              <w:snapToGrid w:val="0"/>
              <w:spacing w:line="240" w:lineRule="auto"/>
              <w:rPr>
                <w:rFonts w:hint="default" w:ascii="Times New Roman" w:hAnsi="Times New Roman" w:eastAsia="仿宋" w:cs="Times New Roman"/>
                <w:b w:val="0"/>
                <w:color w:val="auto"/>
              </w:rPr>
            </w:pPr>
            <w:r>
              <w:rPr>
                <w:rFonts w:hint="default" w:ascii="Times New Roman" w:hAnsi="Times New Roman" w:eastAsia="仿宋" w:cs="Times New Roman"/>
                <w:b w:val="0"/>
                <w:color w:val="auto"/>
              </w:rPr>
              <w:t>年产20万吨聚羧酸系混凝土外加剂异地搬迁技改项目</w:t>
            </w:r>
          </w:p>
        </w:tc>
        <w:tc>
          <w:tcPr>
            <w:tcW w:w="1282" w:type="dxa"/>
            <w:vAlign w:val="center"/>
          </w:tcPr>
          <w:p>
            <w:pPr>
              <w:pStyle w:val="32"/>
              <w:snapToGrid w:val="0"/>
              <w:spacing w:line="240" w:lineRule="auto"/>
              <w:rPr>
                <w:rFonts w:hint="default" w:ascii="Times New Roman" w:hAnsi="Times New Roman" w:eastAsia="仿宋" w:cs="Times New Roman"/>
                <w:b w:val="0"/>
                <w:color w:val="auto"/>
              </w:rPr>
            </w:pPr>
            <w:r>
              <w:rPr>
                <w:rFonts w:hint="default" w:ascii="Times New Roman" w:hAnsi="Times New Roman" w:eastAsia="仿宋" w:cs="Times New Roman"/>
                <w:b w:val="0"/>
                <w:color w:val="auto"/>
              </w:rPr>
              <w:t>聚羧酸系</w:t>
            </w:r>
          </w:p>
          <w:p>
            <w:pPr>
              <w:pStyle w:val="32"/>
              <w:snapToGrid w:val="0"/>
              <w:spacing w:line="240" w:lineRule="auto"/>
              <w:rPr>
                <w:rFonts w:hint="default" w:ascii="Times New Roman" w:hAnsi="Times New Roman" w:eastAsia="仿宋" w:cs="Times New Roman"/>
                <w:b w:val="0"/>
                <w:color w:val="auto"/>
              </w:rPr>
            </w:pPr>
            <w:r>
              <w:rPr>
                <w:rFonts w:hint="default" w:ascii="Times New Roman" w:hAnsi="Times New Roman" w:eastAsia="仿宋" w:cs="Times New Roman"/>
                <w:b w:val="0"/>
                <w:color w:val="auto"/>
              </w:rPr>
              <w:t>外加剂</w:t>
            </w:r>
          </w:p>
        </w:tc>
        <w:tc>
          <w:tcPr>
            <w:tcW w:w="850" w:type="dxa"/>
            <w:vAlign w:val="center"/>
          </w:tcPr>
          <w:p>
            <w:pPr>
              <w:pStyle w:val="32"/>
              <w:snapToGrid w:val="0"/>
              <w:spacing w:line="240" w:lineRule="auto"/>
              <w:rPr>
                <w:rFonts w:hint="default" w:ascii="Times New Roman" w:hAnsi="Times New Roman" w:eastAsia="仿宋" w:cs="Times New Roman"/>
                <w:b w:val="0"/>
                <w:color w:val="auto"/>
              </w:rPr>
            </w:pPr>
            <w:r>
              <w:rPr>
                <w:rFonts w:hint="default" w:ascii="Times New Roman" w:hAnsi="Times New Roman" w:eastAsia="仿宋" w:cs="Times New Roman"/>
                <w:b w:val="0"/>
                <w:color w:val="auto"/>
              </w:rPr>
              <w:t>液态</w:t>
            </w:r>
          </w:p>
        </w:tc>
        <w:tc>
          <w:tcPr>
            <w:tcW w:w="1843" w:type="dxa"/>
            <w:vAlign w:val="center"/>
          </w:tcPr>
          <w:p>
            <w:pPr>
              <w:pStyle w:val="32"/>
              <w:snapToGrid w:val="0"/>
              <w:spacing w:line="240" w:lineRule="auto"/>
              <w:rPr>
                <w:rFonts w:hint="default" w:ascii="Times New Roman" w:hAnsi="Times New Roman" w:eastAsia="仿宋" w:cs="Times New Roman"/>
                <w:b w:val="0"/>
                <w:color w:val="auto"/>
              </w:rPr>
            </w:pPr>
            <w:r>
              <w:rPr>
                <w:rFonts w:hint="default" w:ascii="Times New Roman" w:hAnsi="Times New Roman" w:eastAsia="仿宋" w:cs="Times New Roman"/>
                <w:b w:val="0"/>
                <w:color w:val="auto"/>
              </w:rPr>
              <w:t>10~20%的聚羧酸系混凝土外加剂</w:t>
            </w:r>
          </w:p>
        </w:tc>
        <w:tc>
          <w:tcPr>
            <w:tcW w:w="722" w:type="dxa"/>
            <w:vAlign w:val="center"/>
          </w:tcPr>
          <w:p>
            <w:pPr>
              <w:pStyle w:val="32"/>
              <w:snapToGrid w:val="0"/>
              <w:spacing w:line="240" w:lineRule="auto"/>
              <w:rPr>
                <w:rFonts w:hint="default" w:ascii="Times New Roman" w:hAnsi="Times New Roman" w:eastAsia="仿宋" w:cs="Times New Roman"/>
                <w:b w:val="0"/>
                <w:color w:val="auto"/>
              </w:rPr>
            </w:pPr>
            <w:r>
              <w:rPr>
                <w:rFonts w:hint="default" w:ascii="Times New Roman" w:hAnsi="Times New Roman" w:eastAsia="仿宋" w:cs="Times New Roman"/>
                <w:b w:val="0"/>
                <w:color w:val="auto"/>
              </w:rPr>
              <w:t>20万t/a</w:t>
            </w:r>
          </w:p>
        </w:tc>
        <w:tc>
          <w:tcPr>
            <w:tcW w:w="1324"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7920</w:t>
            </w:r>
          </w:p>
        </w:tc>
        <w:tc>
          <w:tcPr>
            <w:tcW w:w="931"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 xml:space="preserve"> 300t</w:t>
            </w:r>
          </w:p>
        </w:tc>
      </w:tr>
    </w:tbl>
    <w:p>
      <w:pPr>
        <w:pStyle w:val="6"/>
        <w:widowControl w:val="0"/>
        <w:wordWrap/>
        <w:adjustRightInd/>
        <w:spacing w:before="0" w:beforeAutospacing="0" w:line="360" w:lineRule="auto"/>
        <w:ind w:left="0"/>
        <w:textAlignment w:val="auto"/>
        <w:outlineLvl w:val="2"/>
        <w:rPr>
          <w:rFonts w:hint="eastAsia" w:ascii="Times New Roman" w:hAnsi="Times New Roman" w:cs="Times New Roman"/>
          <w:b/>
          <w:color w:val="auto"/>
          <w:sz w:val="28"/>
          <w:szCs w:val="28"/>
          <w:lang w:eastAsia="zh-CN"/>
        </w:rPr>
      </w:pPr>
      <w:bookmarkStart w:id="190" w:name="_Toc5272"/>
      <w:r>
        <w:rPr>
          <w:rFonts w:hint="eastAsia" w:ascii="Times New Roman" w:hAnsi="Times New Roman" w:cs="Times New Roman"/>
          <w:b/>
          <w:color w:val="auto"/>
          <w:sz w:val="28"/>
          <w:szCs w:val="28"/>
          <w:lang w:eastAsia="zh-CN"/>
        </w:rPr>
        <w:t>2.2.2公辅工程</w:t>
      </w:r>
      <w:bookmarkEnd w:id="190"/>
    </w:p>
    <w:p>
      <w:pPr>
        <w:widowControl w:val="0"/>
        <w:wordWrap/>
        <w:adjustRightInd/>
        <w:spacing w:beforeAutospacing="0" w:line="360" w:lineRule="auto"/>
        <w:ind w:firstLine="442" w:firstLineChars="0"/>
        <w:jc w:val="left"/>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厂区内公用工程、贮运工程及其配套辅助工程见表 2.2-3。</w:t>
      </w:r>
    </w:p>
    <w:p>
      <w:pPr>
        <w:widowControl w:val="0"/>
        <w:wordWrap/>
        <w:adjustRightInd/>
        <w:snapToGrid w:val="0"/>
        <w:spacing w:beforeAutospacing="0" w:line="360" w:lineRule="auto"/>
        <w:jc w:val="center"/>
        <w:textAlignment w:val="auto"/>
        <w:rPr>
          <w:rFonts w:hint="default" w:ascii="Times New Roman" w:hAnsi="Times New Roman" w:eastAsia="仿宋" w:cs="Times New Roman"/>
          <w:color w:val="auto"/>
          <w:sz w:val="24"/>
          <w:szCs w:val="24"/>
        </w:rPr>
      </w:pPr>
    </w:p>
    <w:p>
      <w:pPr>
        <w:widowControl w:val="0"/>
        <w:wordWrap/>
        <w:adjustRightInd/>
        <w:snapToGrid w:val="0"/>
        <w:spacing w:beforeAutospacing="0" w:line="360" w:lineRule="auto"/>
        <w:jc w:val="center"/>
        <w:textAlignment w:val="auto"/>
        <w:rPr>
          <w:rFonts w:hint="default" w:ascii="Times New Roman" w:hAnsi="Times New Roman" w:eastAsia="仿宋" w:cs="Times New Roman"/>
          <w:color w:val="auto"/>
          <w:sz w:val="24"/>
          <w:szCs w:val="24"/>
        </w:rPr>
      </w:pPr>
    </w:p>
    <w:p>
      <w:pPr>
        <w:widowControl w:val="0"/>
        <w:wordWrap/>
        <w:adjustRightInd/>
        <w:snapToGrid w:val="0"/>
        <w:spacing w:beforeAutospacing="0" w:line="360" w:lineRule="auto"/>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表2.2-3公用及辅助工程</w:t>
      </w:r>
    </w:p>
    <w:tbl>
      <w:tblPr>
        <w:tblStyle w:val="21"/>
        <w:tblW w:w="9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653"/>
        <w:gridCol w:w="5713"/>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22"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1653"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名称</w:t>
            </w:r>
          </w:p>
        </w:tc>
        <w:tc>
          <w:tcPr>
            <w:tcW w:w="5713"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内容</w:t>
            </w:r>
          </w:p>
        </w:tc>
        <w:tc>
          <w:tcPr>
            <w:tcW w:w="1275" w:type="dxa"/>
            <w:vAlign w:val="center"/>
          </w:tcPr>
          <w:p>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65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_GB2312" w:cs="Times New Roman"/>
                <w:color w:val="auto"/>
                <w:sz w:val="21"/>
                <w:szCs w:val="21"/>
              </w:rPr>
              <w:t>给水</w:t>
            </w:r>
          </w:p>
        </w:tc>
        <w:tc>
          <w:tcPr>
            <w:tcW w:w="571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园区自来水管网，30m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 xml:space="preserve"> /h</w:t>
            </w:r>
          </w:p>
        </w:tc>
        <w:tc>
          <w:tcPr>
            <w:tcW w:w="127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653" w:type="dxa"/>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排水</w:t>
            </w:r>
          </w:p>
        </w:tc>
        <w:tc>
          <w:tcPr>
            <w:tcW w:w="5713" w:type="dxa"/>
            <w:vAlign w:val="center"/>
          </w:tcPr>
          <w:p>
            <w:pPr>
              <w:jc w:val="left"/>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雨污分流制。地面冲洗水、实验废水、废气治理碱喷淋塔定期排放的废水及初期雨水一同经地埋式一体化设备“格栅+调节+A/O+二沉池”处理后排至清水池，生活污水经化粪池处理后排至清水池；软水制备废水经管道排至清水池。清水池混合废水接管至徐州工业园区污水处理厂进一步处理。后期雨水经厂区雨水管网收集后由雨水排放口排放</w:t>
            </w:r>
            <w:r>
              <w:rPr>
                <w:rFonts w:hint="eastAsia" w:ascii="Times New Roman" w:hAnsi="Times New Roman" w:eastAsia="仿宋" w:cs="Times New Roman"/>
                <w:color w:val="auto"/>
                <w:sz w:val="21"/>
                <w:szCs w:val="21"/>
                <w:lang w:eastAsia="zh-CN"/>
              </w:rPr>
              <w:t>。</w:t>
            </w:r>
          </w:p>
        </w:tc>
        <w:tc>
          <w:tcPr>
            <w:tcW w:w="127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pPr>
              <w:spacing w:line="36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653" w:type="dxa"/>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供电</w:t>
            </w:r>
          </w:p>
        </w:tc>
        <w:tc>
          <w:tcPr>
            <w:tcW w:w="5713" w:type="dxa"/>
            <w:vAlign w:val="center"/>
          </w:tcPr>
          <w:p>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工业园附近的10kV变配电线引入，150万kWh/a</w:t>
            </w:r>
          </w:p>
        </w:tc>
        <w:tc>
          <w:tcPr>
            <w:tcW w:w="127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653" w:type="dxa"/>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供热</w:t>
            </w:r>
          </w:p>
        </w:tc>
        <w:tc>
          <w:tcPr>
            <w:tcW w:w="571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园区热力管网提供，6000 m</w:t>
            </w:r>
            <w:r>
              <w:rPr>
                <w:rFonts w:hint="default" w:ascii="Times New Roman" w:hAnsi="Times New Roman" w:eastAsia="仿宋" w:cs="Times New Roman"/>
                <w:color w:val="auto"/>
                <w:sz w:val="21"/>
                <w:szCs w:val="21"/>
                <w:vertAlign w:val="superscript"/>
              </w:rPr>
              <w:t xml:space="preserve">3 </w:t>
            </w:r>
            <w:r>
              <w:rPr>
                <w:rFonts w:hint="default" w:ascii="Times New Roman" w:hAnsi="Times New Roman" w:eastAsia="仿宋" w:cs="Times New Roman"/>
                <w:color w:val="auto"/>
                <w:sz w:val="21"/>
                <w:szCs w:val="21"/>
              </w:rPr>
              <w:t>/a</w:t>
            </w:r>
          </w:p>
        </w:tc>
        <w:tc>
          <w:tcPr>
            <w:tcW w:w="1275"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653" w:type="dxa"/>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消防系统</w:t>
            </w:r>
          </w:p>
        </w:tc>
        <w:tc>
          <w:tcPr>
            <w:tcW w:w="571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 xml:space="preserve">设置 600m </w:t>
            </w:r>
            <w:r>
              <w:rPr>
                <w:rFonts w:hint="default" w:ascii="Times New Roman" w:hAnsi="Times New Roman" w:eastAsia="仿宋" w:cs="Times New Roman"/>
                <w:color w:val="auto"/>
                <w:sz w:val="21"/>
                <w:szCs w:val="21"/>
                <w:vertAlign w:val="superscript"/>
              </w:rPr>
              <w:t xml:space="preserve">3 </w:t>
            </w:r>
            <w:r>
              <w:rPr>
                <w:rFonts w:hint="default" w:ascii="Times New Roman" w:hAnsi="Times New Roman" w:eastAsia="仿宋" w:cs="Times New Roman"/>
                <w:color w:val="auto"/>
                <w:sz w:val="21"/>
                <w:szCs w:val="21"/>
              </w:rPr>
              <w:t>消防水池 1 座、并在车间设置环形供水管网及消防供水消防栓</w:t>
            </w:r>
          </w:p>
        </w:tc>
        <w:tc>
          <w:tcPr>
            <w:tcW w:w="1275"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63" w:type="dxa"/>
            <w:gridSpan w:val="4"/>
            <w:vAlign w:val="center"/>
          </w:tcPr>
          <w:p>
            <w:pPr>
              <w:spacing w:line="360" w:lineRule="auto"/>
              <w:ind w:firstLine="420" w:firstLineChars="20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环保工程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Merge w:val="restart"/>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w:t>
            </w:r>
          </w:p>
        </w:tc>
        <w:tc>
          <w:tcPr>
            <w:tcW w:w="1653" w:type="dxa"/>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有组织</w:t>
            </w:r>
          </w:p>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废气</w:t>
            </w:r>
          </w:p>
        </w:tc>
        <w:tc>
          <w:tcPr>
            <w:tcW w:w="5713" w:type="dxa"/>
            <w:vAlign w:val="center"/>
          </w:tcPr>
          <w:p>
            <w:pPr>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各工序废气经管道收集后采用“一级纯水洗+一级碱洗+除雾干燥+活性炭吸附装置”处理，处理效率达90%，处理后由17m高排气筒排放</w:t>
            </w:r>
            <w:r>
              <w:rPr>
                <w:rFonts w:hint="eastAsia" w:ascii="Times New Roman" w:hAnsi="Times New Roman" w:eastAsia="仿宋" w:cs="Times New Roman"/>
                <w:color w:val="auto"/>
                <w:sz w:val="21"/>
                <w:szCs w:val="21"/>
                <w:lang w:eastAsia="zh-CN"/>
              </w:rPr>
              <w:t>。</w:t>
            </w:r>
          </w:p>
        </w:tc>
        <w:tc>
          <w:tcPr>
            <w:tcW w:w="1275"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Merge w:val="continue"/>
            <w:vAlign w:val="center"/>
          </w:tcPr>
          <w:p>
            <w:pPr>
              <w:jc w:val="center"/>
              <w:rPr>
                <w:rFonts w:hint="default" w:ascii="Times New Roman" w:hAnsi="Times New Roman" w:eastAsia="仿宋" w:cs="Times New Roman"/>
                <w:color w:val="auto"/>
                <w:sz w:val="21"/>
                <w:szCs w:val="21"/>
              </w:rPr>
            </w:pPr>
          </w:p>
        </w:tc>
        <w:tc>
          <w:tcPr>
            <w:tcW w:w="1653" w:type="dxa"/>
            <w:vAlign w:val="center"/>
          </w:tcPr>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无组织</w:t>
            </w:r>
          </w:p>
          <w:p>
            <w:pPr>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排放</w:t>
            </w:r>
          </w:p>
        </w:tc>
        <w:tc>
          <w:tcPr>
            <w:tcW w:w="5713" w:type="dxa"/>
            <w:vAlign w:val="center"/>
          </w:tcPr>
          <w:p>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加强生产设备及物料输送的密闭性，并在车间内安装轴流式通风机。罐区未经收集的废气无组织排放，并加强厂区绿化</w:t>
            </w:r>
          </w:p>
        </w:tc>
        <w:tc>
          <w:tcPr>
            <w:tcW w:w="1275"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Merge w:val="restart"/>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废水</w:t>
            </w:r>
          </w:p>
        </w:tc>
        <w:tc>
          <w:tcPr>
            <w:tcW w:w="165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生活</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污水</w:t>
            </w:r>
          </w:p>
        </w:tc>
        <w:tc>
          <w:tcPr>
            <w:tcW w:w="5713" w:type="dxa"/>
            <w:vMerge w:val="restart"/>
            <w:vAlign w:val="center"/>
          </w:tcPr>
          <w:p>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地面冲洗水、实验废水、废气治理碱喷淋塔定期排放的废水及初期雨水一同经地埋式一体化设备“格栅+调节+A/O+二沉池”处理后排至清水池，生活污水经化粪池处理后排至清水池；软水制备废水经管道排至清水池。清水池混合废水接管至徐州工业园区污水处理厂进一步处理。后期雨水经厂区雨水管网收集后由雨水排放口排放。</w:t>
            </w:r>
          </w:p>
        </w:tc>
        <w:tc>
          <w:tcPr>
            <w:tcW w:w="1275"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Merge w:val="continue"/>
            <w:vAlign w:val="center"/>
          </w:tcPr>
          <w:p>
            <w:pPr>
              <w:jc w:val="center"/>
              <w:rPr>
                <w:rFonts w:hint="default" w:ascii="Times New Roman" w:hAnsi="Times New Roman" w:eastAsia="仿宋" w:cs="Times New Roman"/>
                <w:color w:val="auto"/>
                <w:sz w:val="21"/>
                <w:szCs w:val="21"/>
              </w:rPr>
            </w:pPr>
          </w:p>
        </w:tc>
        <w:tc>
          <w:tcPr>
            <w:tcW w:w="1653" w:type="dxa"/>
            <w:vAlign w:val="center"/>
          </w:tcPr>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生产</w:t>
            </w:r>
          </w:p>
          <w:p>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废水</w:t>
            </w:r>
          </w:p>
        </w:tc>
        <w:tc>
          <w:tcPr>
            <w:tcW w:w="5713" w:type="dxa"/>
            <w:vMerge w:val="continue"/>
            <w:vAlign w:val="center"/>
          </w:tcPr>
          <w:p>
            <w:pPr>
              <w:rPr>
                <w:rFonts w:hint="default" w:ascii="Times New Roman" w:hAnsi="Times New Roman" w:eastAsia="仿宋" w:cs="Times New Roman"/>
                <w:color w:val="auto"/>
                <w:sz w:val="21"/>
                <w:szCs w:val="21"/>
              </w:rPr>
            </w:pPr>
          </w:p>
        </w:tc>
        <w:tc>
          <w:tcPr>
            <w:tcW w:w="1275" w:type="dxa"/>
            <w:vAlign w:val="center"/>
          </w:tcPr>
          <w:p>
            <w:pPr>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pPr>
              <w:spacing w:line="36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噪声</w:t>
            </w:r>
          </w:p>
        </w:tc>
        <w:tc>
          <w:tcPr>
            <w:tcW w:w="1653" w:type="dxa"/>
            <w:vAlign w:val="center"/>
          </w:tcPr>
          <w:p>
            <w:pPr>
              <w:spacing w:line="360" w:lineRule="auto"/>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噪声治理</w:t>
            </w:r>
          </w:p>
        </w:tc>
        <w:tc>
          <w:tcPr>
            <w:tcW w:w="5713" w:type="dxa"/>
            <w:vAlign w:val="center"/>
          </w:tcPr>
          <w:p>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采用车间隔音、吸声、减振基座等措施后，厂界达标。</w:t>
            </w:r>
          </w:p>
        </w:tc>
        <w:tc>
          <w:tcPr>
            <w:tcW w:w="1275" w:type="dxa"/>
            <w:vAlign w:val="center"/>
          </w:tcPr>
          <w:p>
            <w:pPr>
              <w:spacing w:line="360" w:lineRule="auto"/>
              <w:ind w:firstLine="420" w:firstLineChars="20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Merge w:val="restart"/>
            <w:vAlign w:val="center"/>
          </w:tcPr>
          <w:p>
            <w:pPr>
              <w:spacing w:line="36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固废</w:t>
            </w:r>
          </w:p>
        </w:tc>
        <w:tc>
          <w:tcPr>
            <w:tcW w:w="1653" w:type="dxa"/>
            <w:vAlign w:val="center"/>
          </w:tcPr>
          <w:p>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一般工业</w:t>
            </w:r>
          </w:p>
          <w:p>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固废</w:t>
            </w:r>
          </w:p>
        </w:tc>
        <w:tc>
          <w:tcPr>
            <w:tcW w:w="5713" w:type="dxa"/>
            <w:vAlign w:val="center"/>
          </w:tcPr>
          <w:p>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固废临时存放场所，设置在厂区西车间东侧；一般固废堆场地面铺水泥硬化防渗。</w:t>
            </w:r>
          </w:p>
        </w:tc>
        <w:tc>
          <w:tcPr>
            <w:tcW w:w="1275" w:type="dxa"/>
            <w:vAlign w:val="center"/>
          </w:tcPr>
          <w:p>
            <w:pPr>
              <w:spacing w:line="360" w:lineRule="auto"/>
              <w:ind w:firstLine="420" w:firstLineChars="20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Merge w:val="continue"/>
            <w:vAlign w:val="center"/>
          </w:tcPr>
          <w:p>
            <w:pPr>
              <w:spacing w:line="360" w:lineRule="auto"/>
              <w:ind w:firstLine="420" w:firstLineChars="200"/>
              <w:jc w:val="center"/>
              <w:rPr>
                <w:rFonts w:hint="default" w:ascii="Times New Roman" w:hAnsi="Times New Roman" w:eastAsia="仿宋" w:cs="Times New Roman"/>
                <w:color w:val="auto"/>
                <w:sz w:val="21"/>
                <w:szCs w:val="21"/>
              </w:rPr>
            </w:pPr>
          </w:p>
        </w:tc>
        <w:tc>
          <w:tcPr>
            <w:tcW w:w="1653" w:type="dxa"/>
            <w:vAlign w:val="center"/>
          </w:tcPr>
          <w:p>
            <w:pPr>
              <w:spacing w:line="360" w:lineRule="auto"/>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危险固废</w:t>
            </w:r>
          </w:p>
        </w:tc>
        <w:tc>
          <w:tcPr>
            <w:tcW w:w="5713" w:type="dxa"/>
            <w:vAlign w:val="center"/>
          </w:tcPr>
          <w:p>
            <w:pPr>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危废临时存放场所，设置在厂区</w:t>
            </w:r>
            <w:r>
              <w:rPr>
                <w:rFonts w:hint="eastAsia" w:ascii="Times New Roman" w:hAnsi="Times New Roman" w:eastAsia="仿宋" w:cs="Times New Roman"/>
                <w:color w:val="auto"/>
                <w:sz w:val="21"/>
                <w:szCs w:val="21"/>
                <w:lang w:eastAsia="zh-CN"/>
              </w:rPr>
              <w:t>西北侧</w:t>
            </w:r>
            <w:r>
              <w:rPr>
                <w:rFonts w:hint="default" w:ascii="Times New Roman" w:hAnsi="Times New Roman" w:eastAsia="仿宋" w:cs="Times New Roman"/>
                <w:color w:val="auto"/>
                <w:sz w:val="21"/>
                <w:szCs w:val="21"/>
              </w:rPr>
              <w:t>，分类储存；危废临时存放场所有防渗漏、防风、防雨淋等措施。同时生产区各车间及厂房周围全部硬化成防渗地面，防止地面污水下渗污染</w:t>
            </w:r>
            <w:r>
              <w:rPr>
                <w:rFonts w:hint="eastAsia" w:ascii="Times New Roman" w:hAnsi="Times New Roman" w:eastAsia="仿宋" w:cs="Times New Roman"/>
                <w:color w:val="auto"/>
                <w:sz w:val="21"/>
                <w:szCs w:val="21"/>
                <w:lang w:eastAsia="zh-CN"/>
              </w:rPr>
              <w:t>。</w:t>
            </w:r>
          </w:p>
        </w:tc>
        <w:tc>
          <w:tcPr>
            <w:tcW w:w="1275" w:type="dxa"/>
            <w:vAlign w:val="center"/>
          </w:tcPr>
          <w:p>
            <w:pPr>
              <w:spacing w:line="360" w:lineRule="auto"/>
              <w:ind w:firstLine="420" w:firstLineChars="20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vAlign w:val="center"/>
          </w:tcPr>
          <w:p>
            <w:pPr>
              <w:jc w:val="center"/>
              <w:rPr>
                <w:rFonts w:hint="default" w:ascii="Times New Roman" w:hAnsi="Times New Roman" w:eastAsia="仿宋" w:cs="Times New Roman"/>
                <w:color w:val="auto"/>
              </w:rPr>
            </w:pPr>
            <w:r>
              <w:rPr>
                <w:rFonts w:hint="default" w:ascii="Times New Roman" w:hAnsi="Times New Roman" w:eastAsia="仿宋" w:cs="Times New Roman"/>
                <w:color w:val="auto"/>
              </w:rPr>
              <w:t>风险</w:t>
            </w:r>
          </w:p>
        </w:tc>
        <w:tc>
          <w:tcPr>
            <w:tcW w:w="1653" w:type="dxa"/>
            <w:vAlign w:val="center"/>
          </w:tcPr>
          <w:p>
            <w:pPr>
              <w:jc w:val="center"/>
              <w:rPr>
                <w:rFonts w:hint="eastAsia" w:ascii="Times New Roman" w:hAnsi="Times New Roman" w:eastAsia="仿宋" w:cs="Times New Roman"/>
                <w:color w:val="auto"/>
                <w:lang w:eastAsia="zh-CN"/>
              </w:rPr>
            </w:pPr>
            <w:r>
              <w:rPr>
                <w:rFonts w:hint="default" w:ascii="Times New Roman" w:hAnsi="Times New Roman" w:eastAsia="仿宋" w:cs="Times New Roman"/>
                <w:color w:val="auto"/>
              </w:rPr>
              <w:t>事故池</w:t>
            </w:r>
            <w:r>
              <w:rPr>
                <w:rFonts w:hint="eastAsia" w:ascii="Times New Roman" w:hAnsi="Times New Roman" w:eastAsia="仿宋" w:cs="Times New Roman"/>
                <w:color w:val="auto"/>
                <w:lang w:eastAsia="zh-CN"/>
              </w:rPr>
              <w:t>、初期雨水池</w:t>
            </w:r>
          </w:p>
        </w:tc>
        <w:tc>
          <w:tcPr>
            <w:tcW w:w="5713" w:type="dxa"/>
            <w:vAlign w:val="center"/>
          </w:tcPr>
          <w:p>
            <w:pPr>
              <w:jc w:val="center"/>
              <w:rPr>
                <w:rFonts w:hint="eastAsia" w:ascii="Times New Roman" w:hAnsi="Times New Roman" w:eastAsia="仿宋" w:cs="Times New Roman"/>
                <w:color w:val="auto"/>
                <w:lang w:eastAsia="zh-CN"/>
              </w:rPr>
            </w:pPr>
            <w:r>
              <w:rPr>
                <w:rFonts w:hint="default" w:ascii="Times New Roman" w:hAnsi="Times New Roman" w:eastAsia="仿宋" w:cs="Times New Roman"/>
                <w:color w:val="auto"/>
              </w:rPr>
              <w:t>事故池容积1200m</w:t>
            </w:r>
            <w:r>
              <w:rPr>
                <w:rFonts w:hint="default" w:ascii="Times New Roman" w:hAnsi="Times New Roman" w:eastAsia="仿宋" w:cs="Times New Roman"/>
                <w:color w:val="auto"/>
                <w:vertAlign w:val="superscript"/>
              </w:rPr>
              <w:t>3</w:t>
            </w:r>
            <w:r>
              <w:rPr>
                <w:rFonts w:hint="eastAsia" w:ascii="Times New Roman" w:hAnsi="Times New Roman" w:eastAsia="仿宋" w:cs="Times New Roman"/>
                <w:color w:val="auto"/>
                <w:vertAlign w:val="baseline"/>
                <w:lang w:eastAsia="zh-CN"/>
              </w:rPr>
              <w:t>、</w:t>
            </w:r>
            <w:r>
              <w:rPr>
                <w:rFonts w:hint="eastAsia" w:ascii="Times New Roman" w:hAnsi="Times New Roman" w:eastAsia="仿宋" w:cs="Times New Roman"/>
                <w:color w:val="auto"/>
                <w:lang w:eastAsia="zh-CN"/>
              </w:rPr>
              <w:t>初期雨水池</w:t>
            </w:r>
            <w:r>
              <w:rPr>
                <w:rFonts w:hint="default" w:ascii="Times New Roman" w:hAnsi="Times New Roman" w:eastAsia="仿宋" w:cs="Times New Roman"/>
                <w:color w:val="auto"/>
              </w:rPr>
              <w:t>200m</w:t>
            </w:r>
            <w:r>
              <w:rPr>
                <w:rFonts w:hint="default" w:ascii="Times New Roman" w:hAnsi="Times New Roman" w:eastAsia="仿宋" w:cs="Times New Roman"/>
                <w:color w:val="auto"/>
                <w:vertAlign w:val="superscript"/>
              </w:rPr>
              <w:t>3</w:t>
            </w:r>
            <w:r>
              <w:rPr>
                <w:rFonts w:hint="eastAsia" w:ascii="Times New Roman" w:hAnsi="Times New Roman" w:eastAsia="仿宋" w:cs="Times New Roman"/>
                <w:color w:val="auto"/>
                <w:sz w:val="21"/>
                <w:szCs w:val="21"/>
                <w:lang w:eastAsia="zh-CN"/>
              </w:rPr>
              <w:t>。</w:t>
            </w:r>
          </w:p>
        </w:tc>
        <w:tc>
          <w:tcPr>
            <w:tcW w:w="1275" w:type="dxa"/>
            <w:vAlign w:val="center"/>
          </w:tcPr>
          <w:p>
            <w:pPr>
              <w:jc w:val="center"/>
              <w:rPr>
                <w:rFonts w:hint="default" w:ascii="Times New Roman" w:hAnsi="Times New Roman" w:eastAsia="仿宋" w:cs="Times New Roman"/>
                <w:color w:val="auto"/>
              </w:rPr>
            </w:pPr>
          </w:p>
        </w:tc>
      </w:tr>
    </w:tbl>
    <w:p>
      <w:pPr>
        <w:pStyle w:val="6"/>
        <w:spacing w:beforeLines="50" w:afterLines="50" w:line="240" w:lineRule="auto"/>
        <w:ind w:left="0"/>
        <w:outlineLvl w:val="2"/>
        <w:rPr>
          <w:rFonts w:hint="default" w:ascii="Times New Roman" w:hAnsi="Times New Roman" w:eastAsia="仿宋" w:cs="Times New Roman"/>
          <w:b/>
          <w:color w:val="auto"/>
          <w:sz w:val="28"/>
          <w:szCs w:val="28"/>
          <w:lang w:eastAsia="zh-CN"/>
        </w:rPr>
      </w:pPr>
      <w:bookmarkStart w:id="191" w:name="_Toc516651826"/>
      <w:bookmarkStart w:id="192" w:name="_Toc14258"/>
      <w:bookmarkStart w:id="193" w:name="_Toc525292646"/>
      <w:r>
        <w:rPr>
          <w:rFonts w:hint="default" w:ascii="Times New Roman" w:hAnsi="Times New Roman" w:eastAsia="仿宋" w:cs="Times New Roman"/>
          <w:b/>
          <w:color w:val="auto"/>
          <w:sz w:val="28"/>
          <w:szCs w:val="28"/>
          <w:lang w:eastAsia="zh-CN"/>
        </w:rPr>
        <w:t>2.2.3生产主要原、辅材料</w:t>
      </w:r>
      <w:bookmarkEnd w:id="191"/>
      <w:r>
        <w:rPr>
          <w:rFonts w:hint="default" w:ascii="Times New Roman" w:hAnsi="Times New Roman" w:eastAsia="仿宋" w:cs="Times New Roman"/>
          <w:b/>
          <w:color w:val="auto"/>
          <w:sz w:val="28"/>
          <w:szCs w:val="28"/>
          <w:lang w:eastAsia="zh-CN"/>
        </w:rPr>
        <w:t>及理化、毒理性质</w:t>
      </w:r>
      <w:bookmarkEnd w:id="192"/>
      <w:bookmarkEnd w:id="193"/>
    </w:p>
    <w:p>
      <w:pPr>
        <w:widowControl w:val="0"/>
        <w:wordWrap/>
        <w:adjustRightInd/>
        <w:snapToGrid w:val="0"/>
        <w:spacing w:beforeLines="50" w:afterLines="50"/>
        <w:ind w:firstLine="560" w:firstLineChars="2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8"/>
          <w:szCs w:val="28"/>
        </w:rPr>
        <w:t>该公司生产主要原、辅材料及理化、毒理性质见“风险评估报告”第3.3.2节。</w:t>
      </w:r>
    </w:p>
    <w:p>
      <w:pPr>
        <w:pStyle w:val="6"/>
        <w:spacing w:beforeLines="50" w:afterLines="50" w:line="240" w:lineRule="auto"/>
        <w:ind w:left="0"/>
        <w:outlineLvl w:val="2"/>
        <w:rPr>
          <w:rFonts w:hint="default" w:ascii="Times New Roman" w:hAnsi="Times New Roman" w:eastAsia="仿宋" w:cs="Times New Roman"/>
          <w:b/>
          <w:color w:val="auto"/>
          <w:sz w:val="28"/>
          <w:szCs w:val="28"/>
          <w:lang w:eastAsia="zh-CN"/>
        </w:rPr>
      </w:pPr>
      <w:bookmarkStart w:id="194" w:name="_Toc3809"/>
      <w:bookmarkStart w:id="195" w:name="_Toc516651827"/>
      <w:bookmarkStart w:id="196" w:name="_Toc525292647"/>
      <w:r>
        <w:rPr>
          <w:rFonts w:hint="default" w:ascii="Times New Roman" w:hAnsi="Times New Roman" w:eastAsia="仿宋" w:cs="Times New Roman"/>
          <w:b/>
          <w:color w:val="auto"/>
          <w:sz w:val="28"/>
          <w:szCs w:val="28"/>
          <w:lang w:eastAsia="zh-CN"/>
        </w:rPr>
        <w:t>2.2.4化学品贮存情况</w:t>
      </w:r>
      <w:bookmarkEnd w:id="194"/>
      <w:bookmarkEnd w:id="195"/>
      <w:bookmarkEnd w:id="196"/>
    </w:p>
    <w:p>
      <w:pPr>
        <w:snapToGrid w:val="0"/>
        <w:spacing w:beforeLines="50" w:afterLines="50"/>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公司生产用</w:t>
      </w:r>
      <w:r>
        <w:rPr>
          <w:rFonts w:hint="eastAsia" w:ascii="Times New Roman" w:hAnsi="Times New Roman" w:eastAsia="仿宋" w:cs="Times New Roman"/>
          <w:color w:val="auto"/>
          <w:sz w:val="28"/>
          <w:szCs w:val="28"/>
          <w:lang w:eastAsia="zh-CN"/>
        </w:rPr>
        <w:t>化学品</w:t>
      </w:r>
      <w:r>
        <w:rPr>
          <w:rFonts w:hint="default" w:ascii="Times New Roman" w:hAnsi="Times New Roman" w:eastAsia="仿宋" w:cs="Times New Roman"/>
          <w:color w:val="auto"/>
          <w:sz w:val="28"/>
          <w:szCs w:val="28"/>
        </w:rPr>
        <w:t>贮存情况见表2.2-4。</w:t>
      </w:r>
    </w:p>
    <w:p>
      <w:pPr>
        <w:snapToGrid w:val="0"/>
        <w:spacing w:beforeLines="50" w:afterLines="50"/>
        <w:jc w:val="center"/>
        <w:rPr>
          <w:rFonts w:hint="eastAsia" w:eastAsia="仿宋"/>
          <w:color w:val="auto"/>
        </w:rPr>
      </w:pPr>
      <w:r>
        <w:rPr>
          <w:rFonts w:hint="eastAsia" w:eastAsia="仿宋"/>
          <w:color w:val="auto"/>
        </w:rPr>
        <w:t>表2.2-4</w:t>
      </w:r>
    </w:p>
    <w:tbl>
      <w:tblPr>
        <w:tblStyle w:val="21"/>
        <w:tblW w:w="9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838"/>
        <w:gridCol w:w="850"/>
        <w:gridCol w:w="1064"/>
        <w:gridCol w:w="1127"/>
        <w:gridCol w:w="1170"/>
        <w:gridCol w:w="133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Align w:val="center"/>
          </w:tcPr>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1838" w:type="dxa"/>
            <w:vAlign w:val="center"/>
          </w:tcPr>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名称</w:t>
            </w:r>
          </w:p>
        </w:tc>
        <w:tc>
          <w:tcPr>
            <w:tcW w:w="850" w:type="dxa"/>
            <w:vAlign w:val="center"/>
          </w:tcPr>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物质</w:t>
            </w:r>
          </w:p>
        </w:tc>
        <w:tc>
          <w:tcPr>
            <w:tcW w:w="1064" w:type="dxa"/>
            <w:vAlign w:val="center"/>
          </w:tcPr>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规格</w:t>
            </w:r>
          </w:p>
        </w:tc>
        <w:tc>
          <w:tcPr>
            <w:tcW w:w="1127" w:type="dxa"/>
            <w:vAlign w:val="center"/>
          </w:tcPr>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单耗</w:t>
            </w:r>
          </w:p>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(t/t产品)</w:t>
            </w:r>
          </w:p>
        </w:tc>
        <w:tc>
          <w:tcPr>
            <w:tcW w:w="1170" w:type="dxa"/>
            <w:vAlign w:val="center"/>
          </w:tcPr>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年消耗量</w:t>
            </w:r>
          </w:p>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（万吨）</w:t>
            </w:r>
          </w:p>
        </w:tc>
        <w:tc>
          <w:tcPr>
            <w:tcW w:w="1330" w:type="dxa"/>
            <w:vAlign w:val="top"/>
          </w:tcPr>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储存单元最大储存量</w:t>
            </w:r>
          </w:p>
        </w:tc>
        <w:tc>
          <w:tcPr>
            <w:tcW w:w="1140" w:type="dxa"/>
            <w:vAlign w:val="center"/>
          </w:tcPr>
          <w:p>
            <w:pPr>
              <w:pStyle w:val="33"/>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来源及运输方式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92"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838" w:type="dxa"/>
            <w:vAlign w:val="center"/>
          </w:tcPr>
          <w:p>
            <w:pPr>
              <w:adjustRightInd w:val="0"/>
              <w:snapToGrid w:val="0"/>
              <w:ind w:left="-145" w:leftChars="-69" w:right="-107" w:rightChars="-51"/>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双键异构的</w:t>
            </w:r>
          </w:p>
          <w:p>
            <w:pPr>
              <w:adjustRightInd w:val="0"/>
              <w:snapToGrid w:val="0"/>
              <w:ind w:left="-145" w:leftChars="-69" w:right="-107" w:rightChars="-51"/>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不饱和醇聚醚</w:t>
            </w:r>
          </w:p>
        </w:tc>
        <w:tc>
          <w:tcPr>
            <w:tcW w:w="85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w:t>
            </w:r>
          </w:p>
        </w:tc>
        <w:tc>
          <w:tcPr>
            <w:tcW w:w="106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60%</w:t>
            </w:r>
          </w:p>
        </w:tc>
        <w:tc>
          <w:tcPr>
            <w:tcW w:w="1127"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0.66333</w:t>
            </w:r>
          </w:p>
        </w:tc>
        <w:tc>
          <w:tcPr>
            <w:tcW w:w="117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66333</w:t>
            </w:r>
          </w:p>
        </w:tc>
        <w:tc>
          <w:tcPr>
            <w:tcW w:w="1330" w:type="dxa"/>
            <w:vAlign w:val="center"/>
          </w:tcPr>
          <w:p>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320</w:t>
            </w:r>
          </w:p>
        </w:tc>
        <w:tc>
          <w:tcPr>
            <w:tcW w:w="114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838"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丙烯酸</w:t>
            </w:r>
          </w:p>
        </w:tc>
        <w:tc>
          <w:tcPr>
            <w:tcW w:w="85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w:t>
            </w:r>
          </w:p>
        </w:tc>
        <w:tc>
          <w:tcPr>
            <w:tcW w:w="106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98%</w:t>
            </w:r>
          </w:p>
        </w:tc>
        <w:tc>
          <w:tcPr>
            <w:tcW w:w="1127"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0.044</w:t>
            </w:r>
          </w:p>
        </w:tc>
        <w:tc>
          <w:tcPr>
            <w:tcW w:w="117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4400</w:t>
            </w:r>
          </w:p>
        </w:tc>
        <w:tc>
          <w:tcPr>
            <w:tcW w:w="1330" w:type="dxa"/>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90</w:t>
            </w:r>
          </w:p>
        </w:tc>
        <w:tc>
          <w:tcPr>
            <w:tcW w:w="114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838"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葡萄糖酸钠</w:t>
            </w:r>
          </w:p>
        </w:tc>
        <w:tc>
          <w:tcPr>
            <w:tcW w:w="85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w:t>
            </w:r>
          </w:p>
        </w:tc>
        <w:tc>
          <w:tcPr>
            <w:tcW w:w="106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tc>
        <w:tc>
          <w:tcPr>
            <w:tcW w:w="1127"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0.03</w:t>
            </w:r>
          </w:p>
        </w:tc>
        <w:tc>
          <w:tcPr>
            <w:tcW w:w="117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3000</w:t>
            </w:r>
          </w:p>
        </w:tc>
        <w:tc>
          <w:tcPr>
            <w:tcW w:w="1330" w:type="dxa"/>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120</w:t>
            </w:r>
          </w:p>
        </w:tc>
        <w:tc>
          <w:tcPr>
            <w:tcW w:w="114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92"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838"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液碱</w:t>
            </w:r>
          </w:p>
        </w:tc>
        <w:tc>
          <w:tcPr>
            <w:tcW w:w="85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w:t>
            </w:r>
          </w:p>
        </w:tc>
        <w:tc>
          <w:tcPr>
            <w:tcW w:w="106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32%</w:t>
            </w:r>
          </w:p>
        </w:tc>
        <w:tc>
          <w:tcPr>
            <w:tcW w:w="1127"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0.035</w:t>
            </w:r>
          </w:p>
        </w:tc>
        <w:tc>
          <w:tcPr>
            <w:tcW w:w="117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3500</w:t>
            </w:r>
          </w:p>
        </w:tc>
        <w:tc>
          <w:tcPr>
            <w:tcW w:w="1330" w:type="dxa"/>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70</w:t>
            </w:r>
          </w:p>
        </w:tc>
        <w:tc>
          <w:tcPr>
            <w:tcW w:w="114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838"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去离子水</w:t>
            </w:r>
          </w:p>
        </w:tc>
        <w:tc>
          <w:tcPr>
            <w:tcW w:w="85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w:t>
            </w:r>
          </w:p>
        </w:tc>
        <w:tc>
          <w:tcPr>
            <w:tcW w:w="106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1127"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0.24887</w:t>
            </w:r>
          </w:p>
        </w:tc>
        <w:tc>
          <w:tcPr>
            <w:tcW w:w="117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24887</w:t>
            </w:r>
          </w:p>
        </w:tc>
        <w:tc>
          <w:tcPr>
            <w:tcW w:w="1330" w:type="dxa"/>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60</w:t>
            </w:r>
          </w:p>
        </w:tc>
        <w:tc>
          <w:tcPr>
            <w:tcW w:w="114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自制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1838"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双氧水</w:t>
            </w:r>
          </w:p>
        </w:tc>
        <w:tc>
          <w:tcPr>
            <w:tcW w:w="85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w:t>
            </w:r>
          </w:p>
        </w:tc>
        <w:tc>
          <w:tcPr>
            <w:tcW w:w="106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35%</w:t>
            </w:r>
          </w:p>
        </w:tc>
        <w:tc>
          <w:tcPr>
            <w:tcW w:w="1127"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0.004</w:t>
            </w:r>
          </w:p>
        </w:tc>
        <w:tc>
          <w:tcPr>
            <w:tcW w:w="117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400</w:t>
            </w:r>
          </w:p>
        </w:tc>
        <w:tc>
          <w:tcPr>
            <w:tcW w:w="1330" w:type="dxa"/>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9</w:t>
            </w:r>
          </w:p>
        </w:tc>
        <w:tc>
          <w:tcPr>
            <w:tcW w:w="114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w:t>
            </w:r>
          </w:p>
        </w:tc>
        <w:tc>
          <w:tcPr>
            <w:tcW w:w="1838"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维生素C</w:t>
            </w:r>
          </w:p>
        </w:tc>
        <w:tc>
          <w:tcPr>
            <w:tcW w:w="85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w:t>
            </w:r>
          </w:p>
        </w:tc>
        <w:tc>
          <w:tcPr>
            <w:tcW w:w="106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99%</w:t>
            </w:r>
          </w:p>
        </w:tc>
        <w:tc>
          <w:tcPr>
            <w:tcW w:w="1127"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0.001</w:t>
            </w:r>
          </w:p>
        </w:tc>
        <w:tc>
          <w:tcPr>
            <w:tcW w:w="117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1330" w:type="dxa"/>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w:t>
            </w:r>
          </w:p>
        </w:tc>
        <w:tc>
          <w:tcPr>
            <w:tcW w:w="114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1838"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巯基丙酸</w:t>
            </w:r>
          </w:p>
        </w:tc>
        <w:tc>
          <w:tcPr>
            <w:tcW w:w="85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液</w:t>
            </w:r>
          </w:p>
        </w:tc>
        <w:tc>
          <w:tcPr>
            <w:tcW w:w="106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99%</w:t>
            </w:r>
          </w:p>
        </w:tc>
        <w:tc>
          <w:tcPr>
            <w:tcW w:w="1127" w:type="dxa"/>
            <w:vAlign w:val="center"/>
          </w:tcPr>
          <w:p>
            <w:pPr>
              <w:pStyle w:val="33"/>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0.0019</w:t>
            </w:r>
          </w:p>
        </w:tc>
        <w:tc>
          <w:tcPr>
            <w:tcW w:w="117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380</w:t>
            </w:r>
          </w:p>
        </w:tc>
        <w:tc>
          <w:tcPr>
            <w:tcW w:w="1330" w:type="dxa"/>
            <w:vAlign w:val="center"/>
          </w:tcPr>
          <w:p>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w:t>
            </w:r>
          </w:p>
        </w:tc>
        <w:tc>
          <w:tcPr>
            <w:tcW w:w="1140"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汽运</w:t>
            </w:r>
          </w:p>
        </w:tc>
      </w:tr>
    </w:tbl>
    <w:p>
      <w:pPr>
        <w:pStyle w:val="6"/>
        <w:widowControl w:val="0"/>
        <w:wordWrap/>
        <w:adjustRightInd/>
        <w:snapToGrid/>
        <w:spacing w:before="0" w:beforeAutospacing="0" w:after="0" w:line="240" w:lineRule="auto"/>
        <w:ind w:left="0"/>
        <w:textAlignment w:val="auto"/>
        <w:outlineLvl w:val="2"/>
        <w:rPr>
          <w:rFonts w:hint="default" w:ascii="Times New Roman" w:hAnsi="Times New Roman" w:eastAsia="仿宋" w:cs="Times New Roman"/>
          <w:b/>
          <w:color w:val="auto"/>
          <w:sz w:val="28"/>
          <w:szCs w:val="28"/>
          <w:lang w:eastAsia="zh-CN"/>
        </w:rPr>
      </w:pPr>
      <w:bookmarkStart w:id="197" w:name="_Toc21648"/>
      <w:bookmarkStart w:id="198" w:name="_Toc516651829"/>
      <w:bookmarkStart w:id="199" w:name="_Toc525292649"/>
      <w:r>
        <w:rPr>
          <w:rFonts w:hint="default" w:ascii="Times New Roman" w:hAnsi="Times New Roman" w:eastAsia="仿宋" w:cs="Times New Roman"/>
          <w:b/>
          <w:color w:val="auto"/>
          <w:sz w:val="28"/>
          <w:szCs w:val="28"/>
          <w:lang w:eastAsia="zh-CN"/>
        </w:rPr>
        <w:t>2.2.</w:t>
      </w:r>
      <w:r>
        <w:rPr>
          <w:rFonts w:hint="default" w:ascii="Times New Roman" w:hAnsi="Times New Roman" w:eastAsia="仿宋" w:cs="Times New Roman"/>
          <w:b/>
          <w:color w:val="auto"/>
          <w:sz w:val="28"/>
          <w:szCs w:val="28"/>
          <w:lang w:val="en-US" w:eastAsia="zh-CN"/>
        </w:rPr>
        <w:t>5</w:t>
      </w:r>
      <w:r>
        <w:rPr>
          <w:rFonts w:hint="default" w:ascii="Times New Roman" w:hAnsi="Times New Roman" w:eastAsia="仿宋" w:cs="Times New Roman"/>
          <w:b/>
          <w:color w:val="auto"/>
          <w:sz w:val="28"/>
          <w:szCs w:val="28"/>
          <w:lang w:eastAsia="zh-CN"/>
        </w:rPr>
        <w:t>生产工艺</w:t>
      </w:r>
      <w:bookmarkEnd w:id="197"/>
      <w:bookmarkEnd w:id="198"/>
      <w:bookmarkEnd w:id="199"/>
    </w:p>
    <w:p>
      <w:pPr>
        <w:widowControl w:val="0"/>
        <w:wordWrap/>
        <w:adjustRightInd/>
        <w:snapToGrid/>
        <w:spacing w:before="0" w:beforeAutospacing="0" w:line="240" w:lineRule="auto"/>
        <w:ind w:left="0" w:firstLine="560" w:firstLineChars="200"/>
        <w:textAlignment w:val="auto"/>
        <w:outlineLvl w:val="9"/>
        <w:rPr>
          <w:rFonts w:hint="default" w:ascii="Times New Roman" w:hAnsi="Times New Roman" w:eastAsia="仿宋" w:cs="Times New Roman"/>
          <w:color w:val="auto"/>
          <w:sz w:val="28"/>
          <w:szCs w:val="28"/>
        </w:rPr>
      </w:pPr>
      <w:bookmarkStart w:id="200" w:name="_Toc16842"/>
      <w:r>
        <w:rPr>
          <w:rFonts w:hint="default" w:ascii="Times New Roman" w:hAnsi="Times New Roman" w:eastAsia="仿宋" w:cs="Times New Roman"/>
          <w:color w:val="auto"/>
          <w:sz w:val="28"/>
          <w:szCs w:val="28"/>
        </w:rPr>
        <w:t>生产工艺见</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风险评估报告</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第3.4节。</w:t>
      </w:r>
      <w:bookmarkEnd w:id="200"/>
    </w:p>
    <w:p>
      <w:pPr>
        <w:pStyle w:val="6"/>
        <w:widowControl w:val="0"/>
        <w:wordWrap/>
        <w:adjustRightInd/>
        <w:snapToGrid/>
        <w:spacing w:before="0" w:beforeAutospacing="0" w:after="0" w:line="360" w:lineRule="auto"/>
        <w:ind w:left="0"/>
        <w:textAlignment w:val="auto"/>
        <w:outlineLvl w:val="2"/>
        <w:rPr>
          <w:rFonts w:hint="default" w:ascii="Times New Roman" w:hAnsi="Times New Roman" w:eastAsia="仿宋" w:cs="Times New Roman"/>
          <w:b/>
          <w:color w:val="auto"/>
          <w:sz w:val="28"/>
          <w:szCs w:val="28"/>
          <w:lang w:eastAsia="zh-CN"/>
        </w:rPr>
      </w:pPr>
      <w:bookmarkStart w:id="201" w:name="_Toc516651830"/>
      <w:bookmarkStart w:id="202" w:name="_Toc15292"/>
      <w:bookmarkStart w:id="203" w:name="_Toc525292650"/>
      <w:r>
        <w:rPr>
          <w:rFonts w:hint="default" w:ascii="Times New Roman" w:hAnsi="Times New Roman" w:eastAsia="仿宋" w:cs="Times New Roman"/>
          <w:b/>
          <w:color w:val="auto"/>
          <w:sz w:val="28"/>
          <w:szCs w:val="28"/>
          <w:lang w:eastAsia="zh-CN"/>
        </w:rPr>
        <w:t>2.2.</w:t>
      </w:r>
      <w:r>
        <w:rPr>
          <w:rFonts w:hint="default" w:ascii="Times New Roman" w:hAnsi="Times New Roman" w:eastAsia="仿宋" w:cs="Times New Roman"/>
          <w:b/>
          <w:color w:val="auto"/>
          <w:sz w:val="28"/>
          <w:szCs w:val="28"/>
          <w:lang w:val="en-US" w:eastAsia="zh-CN"/>
        </w:rPr>
        <w:t>6</w:t>
      </w:r>
      <w:r>
        <w:rPr>
          <w:rFonts w:hint="default" w:ascii="Times New Roman" w:hAnsi="Times New Roman" w:eastAsia="仿宋" w:cs="Times New Roman"/>
          <w:b/>
          <w:color w:val="auto"/>
          <w:sz w:val="28"/>
          <w:szCs w:val="28"/>
          <w:lang w:eastAsia="zh-CN"/>
        </w:rPr>
        <w:t>污染防治措施</w:t>
      </w:r>
      <w:bookmarkEnd w:id="201"/>
      <w:bookmarkEnd w:id="202"/>
      <w:bookmarkEnd w:id="203"/>
    </w:p>
    <w:p>
      <w:pPr>
        <w:widowControl w:val="0"/>
        <w:wordWrap/>
        <w:adjustRightInd/>
        <w:snapToGrid/>
        <w:spacing w:before="0" w:beforeAutospacing="0" w:line="360" w:lineRule="auto"/>
        <w:ind w:left="0"/>
        <w:textAlignment w:val="auto"/>
        <w:outlineLvl w:val="9"/>
        <w:rPr>
          <w:rFonts w:hint="default" w:ascii="Times New Roman" w:hAnsi="Times New Roman" w:eastAsia="仿宋" w:cs="Times New Roman"/>
          <w:b/>
          <w:color w:val="auto"/>
          <w:sz w:val="28"/>
          <w:szCs w:val="28"/>
          <w:lang w:eastAsia="zh-CN"/>
        </w:rPr>
      </w:pPr>
      <w:bookmarkStart w:id="204" w:name="_Toc525292651"/>
      <w:r>
        <w:rPr>
          <w:rFonts w:hint="default" w:ascii="Times New Roman" w:hAnsi="Times New Roman" w:eastAsia="仿宋" w:cs="Times New Roman"/>
          <w:b/>
          <w:color w:val="auto"/>
          <w:sz w:val="28"/>
          <w:szCs w:val="28"/>
          <w:lang w:eastAsia="zh-CN"/>
        </w:rPr>
        <w:t>2.2.</w:t>
      </w:r>
      <w:r>
        <w:rPr>
          <w:rFonts w:hint="default" w:ascii="Times New Roman" w:hAnsi="Times New Roman" w:eastAsia="仿宋" w:cs="Times New Roman"/>
          <w:b/>
          <w:color w:val="auto"/>
          <w:sz w:val="28"/>
          <w:szCs w:val="28"/>
          <w:lang w:val="en-US" w:eastAsia="zh-CN"/>
        </w:rPr>
        <w:t>6</w:t>
      </w:r>
      <w:r>
        <w:rPr>
          <w:rFonts w:hint="default" w:ascii="Times New Roman" w:hAnsi="Times New Roman" w:eastAsia="仿宋" w:cs="Times New Roman"/>
          <w:b/>
          <w:color w:val="auto"/>
          <w:sz w:val="28"/>
          <w:szCs w:val="28"/>
          <w:lang w:eastAsia="zh-CN"/>
        </w:rPr>
        <w:t>.1大气污染防治措施</w:t>
      </w:r>
      <w:bookmarkEnd w:id="204"/>
    </w:p>
    <w:p>
      <w:pPr>
        <w:snapToGrid w:val="0"/>
        <w:spacing w:line="240" w:lineRule="auto"/>
        <w:ind w:firstLine="482"/>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配料工序（G1、G3）、聚合反应（G2）经管道收集，灌装工序（G4）经集气罩收集，罐区大小呼吸产生的废气经管道微负压收集，一并经“一级纯水洗+一级碱洗+除雾干燥+活性炭吸附装置”处理后，通过17m高排气筒排放。</w:t>
      </w:r>
    </w:p>
    <w:p>
      <w:pPr>
        <w:snapToGrid w:val="0"/>
        <w:spacing w:line="240" w:lineRule="auto"/>
        <w:ind w:firstLine="482"/>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各工序产生的废气处理工艺流程见图2.2-1。</w:t>
      </w:r>
    </w:p>
    <w:p>
      <w:pPr>
        <w:rPr>
          <w:rFonts w:hint="eastAsia"/>
          <w:b/>
          <w:color w:val="auto"/>
          <w:sz w:val="21"/>
          <w:szCs w:val="21"/>
        </w:rPr>
      </w:pPr>
      <w:r>
        <w:rPr>
          <w:rFonts w:hint="eastAsia" w:ascii="宋体" w:hAnsi="宋体" w:eastAsia="宋体" w:cs="黑体"/>
          <w:b/>
          <w:color w:val="auto"/>
          <w:kern w:val="2"/>
          <w:sz w:val="28"/>
          <w:szCs w:val="28"/>
          <w:lang w:val="en-US" w:eastAsia="zh-CN" w:bidi="ar-SA"/>
        </w:rPr>
        <w:pict>
          <v:rect id="矩形 292" o:spid="_x0000_s1201" o:spt="1" style="position:absolute;left:0pt;margin-left:-11.95pt;margin-top:0.2pt;height:35.15pt;width:62.25pt;z-index:25180569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snapToGrid w:val="0"/>
                    <w:jc w:val="center"/>
                    <w:rPr>
                      <w:rFonts w:hint="eastAsia" w:ascii="仿宋" w:hAnsi="仿宋"/>
                    </w:rPr>
                  </w:pPr>
                  <w:r>
                    <w:rPr>
                      <w:rFonts w:hint="eastAsia" w:eastAsia="仿宋"/>
                      <w:sz w:val="21"/>
                      <w:szCs w:val="21"/>
                    </w:rPr>
                    <w:t>配料工序废气</w:t>
                  </w:r>
                </w:p>
              </w:txbxContent>
            </v:textbox>
          </v:rect>
        </w:pict>
      </w:r>
      <w:r>
        <w:rPr>
          <w:rFonts w:hint="eastAsia" w:ascii="Calibri" w:hAnsi="Calibri" w:eastAsia="宋体" w:cs="黑体"/>
          <w:b/>
          <w:color w:val="auto"/>
          <w:kern w:val="2"/>
          <w:sz w:val="21"/>
          <w:szCs w:val="21"/>
          <w:lang w:val="en-US" w:eastAsia="zh-CN" w:bidi="ar-SA"/>
        </w:rPr>
        <w:pict>
          <v:line id="直线 293" o:spid="_x0000_s1202" o:spt="20" style="position:absolute;left:0pt;margin-left:7.9pt;margin-top:35.35pt;height:0.05pt;width:41.3pt;z-index:251793408;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Calibri" w:hAnsi="Calibri" w:eastAsia="宋体" w:cs="黑体"/>
          <w:b/>
          <w:color w:val="auto"/>
          <w:kern w:val="2"/>
          <w:sz w:val="21"/>
          <w:szCs w:val="21"/>
          <w:lang w:val="en-US" w:eastAsia="zh-CN" w:bidi="ar-SA"/>
        </w:rPr>
        <w:pict>
          <v:rect id="矩形 294" o:spid="_x0000_s1203" o:spt="1" style="position:absolute;left:0pt;margin-left:50.2pt;margin-top:23.45pt;height:22.7pt;width:63.4pt;z-index:251794432;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仿宋" w:hAnsi="仿宋" w:eastAsia="仿宋"/>
                    </w:rPr>
                  </w:pPr>
                  <w:r>
                    <w:rPr>
                      <w:rFonts w:hint="eastAsia" w:ascii="仿宋" w:hAnsi="仿宋" w:eastAsia="仿宋"/>
                    </w:rPr>
                    <w:t>管道收集</w:t>
                  </w:r>
                </w:p>
              </w:txbxContent>
            </v:textbox>
          </v:rect>
        </w:pict>
      </w:r>
    </w:p>
    <w:p>
      <w:pPr>
        <w:rPr>
          <w:rFonts w:hint="eastAsia"/>
          <w:b/>
          <w:color w:val="auto"/>
          <w:sz w:val="28"/>
          <w:szCs w:val="28"/>
        </w:rPr>
      </w:pPr>
      <w:r>
        <w:rPr>
          <w:rFonts w:ascii="Calibri" w:hAnsi="Calibri" w:eastAsia="宋体" w:cs="黑体"/>
          <w:color w:val="auto"/>
          <w:kern w:val="2"/>
          <w:sz w:val="28"/>
          <w:szCs w:val="22"/>
          <w:lang w:val="en-US" w:eastAsia="zh-CN" w:bidi="ar-SA"/>
        </w:rPr>
        <w:pict>
          <v:line id="直线 295" o:spid="_x0000_s1204" o:spt="20" style="position:absolute;left:0pt;margin-left:139.1pt;margin-top:19.7pt;height:97.5pt;width:0.05pt;z-index:251826176;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hint="eastAsia" w:ascii="Calibri" w:hAnsi="Calibri" w:eastAsia="宋体" w:cs="黑体"/>
          <w:b/>
          <w:color w:val="auto"/>
          <w:kern w:val="2"/>
          <w:sz w:val="28"/>
          <w:szCs w:val="28"/>
          <w:lang w:val="en-US" w:eastAsia="zh-CN" w:bidi="ar-SA"/>
        </w:rPr>
        <w:pict>
          <v:line id="直线 296" o:spid="_x0000_s1205" o:spt="20" style="position:absolute;left:0pt;margin-left:114pt;margin-top:20.5pt;height:0.05pt;width:25.35pt;z-index:251822080;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Calibri" w:hAnsi="Calibri" w:eastAsia="宋体" w:cs="黑体"/>
          <w:b/>
          <w:color w:val="auto"/>
          <w:kern w:val="2"/>
          <w:sz w:val="28"/>
          <w:szCs w:val="28"/>
          <w:lang w:val="en-US" w:eastAsia="zh-CN" w:bidi="ar-SA"/>
        </w:rPr>
        <w:pict>
          <v:shape id="自选图形 297" o:spid="_x0000_s1206" o:spt="32" type="#_x0000_t32" style="position:absolute;left:0pt;margin-left:138.9pt;margin-top:14350.1pt;height:0.55pt;width:202.5pt;z-index:251809792;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shape id="自选图形 298" o:spid="_x0000_s1207" o:spt="32" type="#_x0000_t32" style="position:absolute;left:0pt;margin-left:138.9pt;margin-top:14350.1pt;height:0.55pt;width:202.5pt;z-index:251813888;mso-width-relative:page;mso-height-relative:page;" fillcolor="#FFFFFF" filled="t" o:preferrelative="t" stroked="t" coordsize="21600,21600">
            <v:path arrowok="t"/>
            <v:fill on="t" focussize="0,0"/>
            <v:stroke color="#000000" color2="#FFFFFF" miterlimit="2"/>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rect id="矩形 299" o:spid="_x0000_s1208" o:spt="1" style="position:absolute;left:0pt;margin-left:-13.05pt;margin-top:19.75pt;height:35.15pt;width:62.25pt;z-index:25180672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snapToGrid w:val="0"/>
                    <w:jc w:val="center"/>
                    <w:rPr>
                      <w:rFonts w:hint="eastAsia" w:ascii="仿宋" w:hAnsi="仿宋"/>
                    </w:rPr>
                  </w:pPr>
                  <w:r>
                    <w:rPr>
                      <w:rFonts w:hint="eastAsia" w:eastAsia="仿宋"/>
                      <w:sz w:val="21"/>
                      <w:szCs w:val="21"/>
                    </w:rPr>
                    <w:t>聚合工序废气</w:t>
                  </w:r>
                </w:p>
              </w:txbxContent>
            </v:textbox>
          </v:rect>
        </w:pict>
      </w:r>
    </w:p>
    <w:p>
      <w:pPr>
        <w:rPr>
          <w:rFonts w:hint="eastAsia"/>
          <w:b/>
          <w:color w:val="auto"/>
          <w:sz w:val="28"/>
          <w:szCs w:val="28"/>
        </w:rPr>
      </w:pPr>
      <w:r>
        <w:rPr>
          <w:rFonts w:hint="eastAsia" w:ascii="Calibri" w:hAnsi="Calibri" w:eastAsia="宋体" w:cs="黑体"/>
          <w:b/>
          <w:color w:val="auto"/>
          <w:kern w:val="2"/>
          <w:sz w:val="28"/>
          <w:szCs w:val="28"/>
          <w:lang w:val="en-US" w:eastAsia="zh-CN" w:bidi="ar-SA"/>
        </w:rPr>
        <w:pict>
          <v:line id="直线 300" o:spid="_x0000_s1209" o:spt="20" style="position:absolute;left:0pt;margin-left:114.5pt;margin-top:17.3pt;height:0.05pt;width:23.85pt;z-index:251823104;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Calibri" w:hAnsi="Calibri" w:eastAsia="宋体" w:cs="黑体"/>
          <w:b/>
          <w:color w:val="auto"/>
          <w:kern w:val="2"/>
          <w:sz w:val="21"/>
          <w:szCs w:val="21"/>
          <w:lang w:val="en-US" w:eastAsia="zh-CN" w:bidi="ar-SA"/>
        </w:rPr>
        <w:pict>
          <v:rect id="矩形 301" o:spid="_x0000_s1210" o:spt="1" style="position:absolute;left:0pt;margin-left:266.35pt;margin-top:23.7pt;height:22.7pt;width:66.65pt;z-index:251795456;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仿宋" w:hAnsi="仿宋"/>
                    </w:rPr>
                  </w:pPr>
                  <w:r>
                    <w:rPr>
                      <w:rFonts w:hint="eastAsia" w:ascii="仿宋" w:hAnsi="仿宋" w:eastAsia="仿宋"/>
                    </w:rPr>
                    <w:t>一级</w:t>
                  </w:r>
                  <w:r>
                    <w:rPr>
                      <w:rFonts w:hint="eastAsia" w:ascii="仿宋" w:hAnsi="仿宋"/>
                    </w:rPr>
                    <w:t>碱洗等离子</w:t>
                  </w:r>
                </w:p>
              </w:txbxContent>
            </v:textbox>
          </v:rect>
        </w:pict>
      </w:r>
      <w:r>
        <w:rPr>
          <w:rFonts w:hint="eastAsia" w:ascii="Calibri" w:hAnsi="Calibri" w:eastAsia="宋体" w:cs="黑体"/>
          <w:b/>
          <w:color w:val="auto"/>
          <w:kern w:val="2"/>
          <w:sz w:val="21"/>
          <w:szCs w:val="21"/>
          <w:lang w:val="en-US" w:eastAsia="zh-CN" w:bidi="ar-SA"/>
        </w:rPr>
        <w:pict>
          <v:rect id="矩形 302" o:spid="_x0000_s1211" o:spt="1" style="position:absolute;left:0pt;margin-left:163.75pt;margin-top:23.7pt;height:22.7pt;width:78.75pt;z-index:251797504;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仿宋" w:hAnsi="仿宋"/>
                    </w:rPr>
                  </w:pPr>
                  <w:r>
                    <w:rPr>
                      <w:rFonts w:hint="eastAsia" w:ascii="仿宋" w:hAnsi="仿宋" w:eastAsia="仿宋"/>
                    </w:rPr>
                    <w:t>一级纯水洗</w:t>
                  </w:r>
                  <w:r>
                    <w:rPr>
                      <w:rFonts w:hint="eastAsia" w:ascii="仿宋" w:hAnsi="仿宋"/>
                    </w:rPr>
                    <w:t>化</w:t>
                  </w:r>
                </w:p>
              </w:txbxContent>
            </v:textbox>
          </v:rect>
        </w:pict>
      </w:r>
      <w:r>
        <w:rPr>
          <w:rFonts w:hint="eastAsia" w:ascii="Calibri" w:hAnsi="Calibri" w:eastAsia="宋体" w:cs="黑体"/>
          <w:b/>
          <w:color w:val="auto"/>
          <w:kern w:val="2"/>
          <w:sz w:val="28"/>
          <w:szCs w:val="28"/>
          <w:lang w:val="en-US" w:eastAsia="zh-CN" w:bidi="ar-SA"/>
        </w:rPr>
        <w:pict>
          <v:shape id="自选图形 303" o:spid="_x0000_s1212" o:spt="32" type="#_x0000_t32" style="position:absolute;left:0pt;margin-left:138.9pt;margin-top:14318.9pt;height:0.55pt;width:202.5pt;z-index:251810816;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rect id="矩形 304" o:spid="_x0000_s1213" o:spt="1" style="position:absolute;left:0pt;margin-left:50.3pt;margin-top:6.2pt;height:22.7pt;width:63.4pt;z-index:251802624;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仿宋" w:hAnsi="仿宋"/>
                    </w:rPr>
                  </w:pPr>
                  <w:r>
                    <w:rPr>
                      <w:rFonts w:hint="eastAsia" w:ascii="仿宋" w:hAnsi="仿宋" w:eastAsia="仿宋"/>
                    </w:rPr>
                    <w:t>管道收集</w:t>
                  </w:r>
                </w:p>
                <w:p>
                  <w:pPr>
                    <w:snapToGrid w:val="0"/>
                    <w:jc w:val="center"/>
                    <w:rPr>
                      <w:rFonts w:hint="eastAsia" w:ascii="仿宋" w:hAnsi="仿宋"/>
                    </w:rPr>
                  </w:pPr>
                </w:p>
              </w:txbxContent>
            </v:textbox>
          </v:rect>
        </w:pict>
      </w:r>
      <w:r>
        <w:rPr>
          <w:rFonts w:hint="eastAsia" w:ascii="Calibri" w:hAnsi="Calibri" w:eastAsia="宋体" w:cs="黑体"/>
          <w:b/>
          <w:color w:val="auto"/>
          <w:kern w:val="2"/>
          <w:sz w:val="28"/>
          <w:szCs w:val="28"/>
          <w:lang w:val="en-US" w:eastAsia="zh-CN" w:bidi="ar-SA"/>
        </w:rPr>
        <w:pict>
          <v:line id="直线 305" o:spid="_x0000_s1214" o:spt="20" style="position:absolute;left:0pt;margin-left:8.9pt;margin-top:15.3pt;height:0.05pt;width:41.3pt;z-index:251799552;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p>
    <w:p>
      <w:pPr>
        <w:snapToGrid w:val="0"/>
        <w:spacing w:beforeLines="50" w:afterLines="50" w:line="500" w:lineRule="exact"/>
        <w:rPr>
          <w:rFonts w:hint="eastAsia" w:ascii="宋体" w:hAnsi="宋体"/>
          <w:b/>
          <w:color w:val="auto"/>
          <w:sz w:val="28"/>
          <w:szCs w:val="28"/>
        </w:rPr>
      </w:pPr>
      <w:r>
        <w:rPr>
          <w:rFonts w:hint="eastAsia" w:ascii="宋体" w:hAnsi="宋体" w:eastAsia="宋体" w:cs="黑体"/>
          <w:b/>
          <w:color w:val="auto"/>
          <w:kern w:val="2"/>
          <w:sz w:val="28"/>
          <w:szCs w:val="28"/>
          <w:lang w:val="en-US" w:eastAsia="zh-CN" w:bidi="ar-SA"/>
        </w:rPr>
        <w:pict>
          <v:rect id="矩形 316" o:spid="_x0000_s1215" o:spt="1" style="position:absolute;left:0pt;margin-left:-6.4pt;margin-top:29.3pt;height:35.1pt;width:62.25pt;z-index:25180876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snapToGrid w:val="0"/>
                    <w:jc w:val="center"/>
                    <w:rPr>
                      <w:rFonts w:hint="eastAsia" w:ascii="仿宋" w:hAnsi="仿宋"/>
                    </w:rPr>
                  </w:pPr>
                  <w:r>
                    <w:rPr>
                      <w:rFonts w:hint="eastAsia" w:eastAsia="仿宋"/>
                      <w:sz w:val="21"/>
                      <w:szCs w:val="21"/>
                    </w:rPr>
                    <w:t>灌装工序废气</w:t>
                  </w:r>
                </w:p>
              </w:txbxContent>
            </v:textbox>
          </v:rect>
        </w:pict>
      </w:r>
      <w:r>
        <w:rPr>
          <w:rFonts w:hint="eastAsia" w:ascii="Calibri" w:hAnsi="Calibri" w:eastAsia="宋体" w:cs="黑体"/>
          <w:b/>
          <w:color w:val="auto"/>
          <w:kern w:val="2"/>
          <w:sz w:val="28"/>
          <w:szCs w:val="28"/>
          <w:lang w:val="en-US" w:eastAsia="zh-CN" w:bidi="ar-SA"/>
        </w:rPr>
        <w:pict>
          <v:line id="直线 306" o:spid="_x0000_s1216" o:spt="20" style="position:absolute;left:0pt;margin-left:297pt;margin-top:15.6pt;height:20.05pt;width:0.4pt;z-index:251828224;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Calibri" w:hAnsi="Calibri" w:eastAsia="宋体" w:cs="黑体"/>
          <w:b/>
          <w:color w:val="auto"/>
          <w:kern w:val="2"/>
          <w:sz w:val="28"/>
          <w:szCs w:val="28"/>
          <w:lang w:val="en-US" w:eastAsia="zh-CN" w:bidi="ar-SA"/>
        </w:rPr>
        <w:pict>
          <v:line id="直线 307" o:spid="_x0000_s1217" o:spt="20" style="position:absolute;left:0pt;margin-left:140pt;margin-top:4.1pt;height:0.05pt;width:23.85pt;z-index:251827200;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Calibri" w:hAnsi="Calibri" w:eastAsia="宋体" w:cs="黑体"/>
          <w:b/>
          <w:color w:val="auto"/>
          <w:kern w:val="2"/>
          <w:sz w:val="28"/>
          <w:szCs w:val="28"/>
          <w:lang w:val="en-US" w:eastAsia="zh-CN" w:bidi="ar-SA"/>
        </w:rPr>
        <w:pict>
          <v:line id="直线 308" o:spid="_x0000_s1218" o:spt="20" style="position:absolute;left:0pt;margin-left:120.5pt;margin-top:25.1pt;height:0.05pt;width:18.9pt;z-index:251824128;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Calibri" w:hAnsi="Calibri" w:eastAsia="宋体" w:cs="黑体"/>
          <w:b/>
          <w:color w:val="auto"/>
          <w:kern w:val="2"/>
          <w:sz w:val="28"/>
          <w:szCs w:val="28"/>
          <w:lang w:val="en-US" w:eastAsia="zh-CN" w:bidi="ar-SA"/>
        </w:rPr>
        <w:pict>
          <v:rect id="矩形 309" o:spid="_x0000_s1219" o:spt="1" style="position:absolute;left:0pt;margin-left:266.35pt;margin-top:35.3pt;height:22.7pt;width:66.65pt;z-index:251816960;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仿宋" w:hAnsi="仿宋"/>
                    </w:rPr>
                  </w:pPr>
                  <w:r>
                    <w:rPr>
                      <w:rFonts w:hint="eastAsia" w:ascii="仿宋" w:hAnsi="仿宋" w:eastAsia="仿宋"/>
                    </w:rPr>
                    <w:t>除雾干燥</w:t>
                  </w:r>
                  <w:r>
                    <w:rPr>
                      <w:rFonts w:hint="eastAsia" w:ascii="仿宋" w:hAnsi="仿宋"/>
                    </w:rPr>
                    <w:t>等离子</w:t>
                  </w:r>
                </w:p>
              </w:txbxContent>
            </v:textbox>
          </v:rect>
        </w:pict>
      </w:r>
      <w:r>
        <w:rPr>
          <w:rFonts w:hint="eastAsia" w:ascii="Calibri" w:hAnsi="Calibri" w:eastAsia="宋体" w:cs="黑体"/>
          <w:b/>
          <w:color w:val="auto"/>
          <w:kern w:val="2"/>
          <w:sz w:val="28"/>
          <w:szCs w:val="28"/>
          <w:lang w:val="en-US" w:eastAsia="zh-CN" w:bidi="ar-SA"/>
        </w:rPr>
        <w:pict>
          <v:shape id="自选图形 310" o:spid="_x0000_s1220" o:spt="32" type="#_x0000_t32" style="position:absolute;left:0pt;margin-left:138.9pt;margin-top:14287.7pt;height:0.55pt;width:202.5pt;z-index:251815936;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line id="直线 311" o:spid="_x0000_s1221" o:spt="20" style="position:absolute;left:0pt;margin-left:242.5pt;margin-top:5.1pt;height:0.05pt;width:23.85pt;z-index:251798528;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Calibri" w:hAnsi="Calibri" w:eastAsia="宋体" w:cs="黑体"/>
          <w:b/>
          <w:color w:val="auto"/>
          <w:kern w:val="2"/>
          <w:sz w:val="28"/>
          <w:szCs w:val="28"/>
          <w:lang w:val="en-US" w:eastAsia="zh-CN" w:bidi="ar-SA"/>
        </w:rPr>
        <w:pict>
          <v:shape id="自选图形 312" o:spid="_x0000_s1222" o:spt="32" type="#_x0000_t32" style="position:absolute;left:0pt;margin-left:138.9pt;margin-top:14287.7pt;height:0.55pt;width:202.5pt;z-index:251814912;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shape id="自选图形 313" o:spid="_x0000_s1223" o:spt="32" type="#_x0000_t32" style="position:absolute;left:0pt;margin-left:138.9pt;margin-top:14287.7pt;height:0.55pt;width:202.5pt;z-index:251811840;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宋体" w:hAnsi="宋体" w:eastAsia="宋体" w:cs="黑体"/>
          <w:b/>
          <w:color w:val="auto"/>
          <w:kern w:val="2"/>
          <w:sz w:val="28"/>
          <w:szCs w:val="28"/>
          <w:lang w:val="en-US" w:eastAsia="zh-CN" w:bidi="ar-SA"/>
        </w:rPr>
        <w:pict>
          <v:rect id="矩形 314" o:spid="_x0000_s1224" o:spt="1" style="position:absolute;left:0pt;margin-left:43.85pt;margin-top:12.6pt;height:22.7pt;width:76.9pt;z-index:251803648;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仿宋" w:hAnsi="仿宋" w:eastAsia="仿宋"/>
                    </w:rPr>
                  </w:pPr>
                  <w:r>
                    <w:rPr>
                      <w:rFonts w:hint="eastAsia" w:ascii="仿宋" w:hAnsi="仿宋" w:eastAsia="仿宋"/>
                    </w:rPr>
                    <w:t>管道微负压收集</w:t>
                  </w:r>
                </w:p>
                <w:p>
                  <w:pPr>
                    <w:snapToGrid w:val="0"/>
                    <w:jc w:val="center"/>
                    <w:rPr>
                      <w:rFonts w:hint="eastAsia" w:ascii="仿宋" w:hAnsi="仿宋" w:eastAsia="仿宋"/>
                    </w:rPr>
                  </w:pPr>
                </w:p>
              </w:txbxContent>
            </v:textbox>
          </v:rect>
        </w:pict>
      </w:r>
      <w:r>
        <w:rPr>
          <w:rFonts w:hint="eastAsia" w:ascii="宋体" w:hAnsi="宋体" w:eastAsia="宋体" w:cs="黑体"/>
          <w:b/>
          <w:color w:val="auto"/>
          <w:kern w:val="2"/>
          <w:sz w:val="28"/>
          <w:szCs w:val="28"/>
          <w:lang w:val="en-US" w:eastAsia="zh-CN" w:bidi="ar-SA"/>
        </w:rPr>
        <w:pict>
          <v:line id="直线 315" o:spid="_x0000_s1225" o:spt="20" style="position:absolute;left:0pt;margin-left:2.55pt;margin-top:23.35pt;height:0.05pt;width:41.3pt;z-index:251800576;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宋体" w:hAnsi="宋体" w:eastAsia="宋体" w:cs="黑体"/>
          <w:b/>
          <w:color w:val="auto"/>
          <w:kern w:val="2"/>
          <w:sz w:val="28"/>
          <w:szCs w:val="28"/>
          <w:lang w:val="en-US" w:eastAsia="zh-CN" w:bidi="ar-SA"/>
        </w:rPr>
        <w:pict>
          <v:rect id="矩形 317" o:spid="_x0000_s1226" o:spt="1" style="position:absolute;left:0pt;margin-left:-13.05pt;margin-top:2.2pt;height:21.15pt;width:62.25pt;z-index:25180774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snapToGrid w:val="0"/>
                    <w:jc w:val="center"/>
                    <w:rPr>
                      <w:rFonts w:hint="eastAsia" w:ascii="仿宋" w:hAnsi="仿宋"/>
                    </w:rPr>
                  </w:pPr>
                  <w:r>
                    <w:rPr>
                      <w:rFonts w:hint="eastAsia" w:eastAsia="仿宋"/>
                      <w:sz w:val="21"/>
                      <w:szCs w:val="21"/>
                    </w:rPr>
                    <w:t>罐区废气</w:t>
                  </w:r>
                </w:p>
              </w:txbxContent>
            </v:textbox>
          </v:rect>
        </w:pict>
      </w:r>
    </w:p>
    <w:p>
      <w:pPr>
        <w:snapToGrid w:val="0"/>
        <w:spacing w:beforeLines="50" w:afterLines="50" w:line="500" w:lineRule="exact"/>
        <w:rPr>
          <w:rFonts w:hint="eastAsia" w:ascii="宋体" w:hAnsi="宋体"/>
          <w:b/>
          <w:color w:val="auto"/>
          <w:sz w:val="28"/>
          <w:szCs w:val="28"/>
        </w:rPr>
      </w:pPr>
      <w:r>
        <w:rPr>
          <w:rFonts w:hint="eastAsia" w:ascii="Calibri" w:hAnsi="Calibri" w:eastAsia="宋体" w:cs="黑体"/>
          <w:b/>
          <w:color w:val="auto"/>
          <w:kern w:val="2"/>
          <w:sz w:val="28"/>
          <w:szCs w:val="28"/>
          <w:lang w:val="en-US" w:eastAsia="zh-CN" w:bidi="ar-SA"/>
        </w:rPr>
        <w:pict>
          <v:line id="直线 318" o:spid="_x0000_s1227" o:spt="20" style="position:absolute;left:0pt;margin-left:297pt;margin-top:18pt;height:20.05pt;width:0.4pt;z-index:251829248;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Calibri" w:hAnsi="Calibri" w:eastAsia="宋体" w:cs="黑体"/>
          <w:b/>
          <w:color w:val="auto"/>
          <w:kern w:val="2"/>
          <w:sz w:val="28"/>
          <w:szCs w:val="28"/>
          <w:lang w:val="en-US" w:eastAsia="zh-CN" w:bidi="ar-SA"/>
        </w:rPr>
        <w:pict>
          <v:line id="直线 319" o:spid="_x0000_s1228" o:spt="20" style="position:absolute;left:0pt;margin-left:103.5pt;margin-top:14pt;height:0.05pt;width:35.8pt;z-index:251825152;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Calibri" w:hAnsi="Calibri" w:eastAsia="宋体" w:cs="黑体"/>
          <w:b/>
          <w:color w:val="auto"/>
          <w:kern w:val="2"/>
          <w:sz w:val="28"/>
          <w:szCs w:val="28"/>
          <w:lang w:val="en-US" w:eastAsia="zh-CN" w:bidi="ar-SA"/>
        </w:rPr>
        <w:pict>
          <v:shape id="自选图形 320" o:spid="_x0000_s1229" o:spt="32" type="#_x0000_t32" style="position:absolute;left:0pt;margin-left:138.9pt;margin-top:14247.1pt;height:0.55pt;width:202.5pt;z-index:251817984;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Calibri" w:hAnsi="Calibri" w:eastAsia="宋体" w:cs="黑体"/>
          <w:b/>
          <w:color w:val="auto"/>
          <w:kern w:val="2"/>
          <w:sz w:val="28"/>
          <w:szCs w:val="28"/>
          <w:lang w:val="en-US" w:eastAsia="zh-CN" w:bidi="ar-SA"/>
        </w:rPr>
        <w:pict>
          <v:shape id="自选图形 321" o:spid="_x0000_s1230" o:spt="32" type="#_x0000_t32" style="position:absolute;left:0pt;margin-left:138.9pt;margin-top:14247.1pt;height:0.55pt;width:202.5pt;z-index:251812864;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宋体" w:hAnsi="宋体" w:eastAsia="宋体" w:cs="黑体"/>
          <w:b/>
          <w:color w:val="auto"/>
          <w:kern w:val="2"/>
          <w:sz w:val="28"/>
          <w:szCs w:val="28"/>
          <w:lang w:val="en-US" w:eastAsia="zh-CN" w:bidi="ar-SA"/>
        </w:rPr>
        <w:pict>
          <v:rect id="矩形 322" o:spid="_x0000_s1231" o:spt="1" style="position:absolute;left:0pt;margin-left:50.3pt;margin-top:3.15pt;height:22.7pt;width:52.7pt;z-index:251804672;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仿宋" w:hAnsi="仿宋" w:eastAsia="仿宋"/>
                    </w:rPr>
                  </w:pPr>
                  <w:r>
                    <w:rPr>
                      <w:rFonts w:hint="eastAsia" w:ascii="仿宋" w:hAnsi="仿宋" w:eastAsia="仿宋"/>
                    </w:rPr>
                    <w:t>集气罩</w:t>
                  </w:r>
                </w:p>
              </w:txbxContent>
            </v:textbox>
          </v:rect>
        </w:pict>
      </w:r>
      <w:r>
        <w:rPr>
          <w:rFonts w:hint="eastAsia" w:ascii="宋体" w:hAnsi="宋体" w:eastAsia="宋体" w:cs="黑体"/>
          <w:b/>
          <w:color w:val="auto"/>
          <w:kern w:val="2"/>
          <w:sz w:val="28"/>
          <w:szCs w:val="28"/>
          <w:lang w:val="en-US" w:eastAsia="zh-CN" w:bidi="ar-SA"/>
        </w:rPr>
        <w:pict>
          <v:line id="直线 323" o:spid="_x0000_s1232" o:spt="20" style="position:absolute;left:0pt;margin-left:8.9pt;margin-top:15pt;height:0.05pt;width:41.3pt;z-index:251801600;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p>
    <w:p>
      <w:pPr>
        <w:snapToGrid w:val="0"/>
        <w:spacing w:beforeLines="50" w:afterLines="50" w:line="500" w:lineRule="exact"/>
        <w:rPr>
          <w:rFonts w:hint="eastAsia" w:ascii="宋体" w:hAnsi="宋体"/>
          <w:b/>
          <w:color w:val="auto"/>
          <w:sz w:val="28"/>
          <w:szCs w:val="28"/>
        </w:rPr>
      </w:pPr>
      <w:r>
        <w:rPr>
          <w:rFonts w:hint="eastAsia" w:ascii="Calibri" w:hAnsi="Calibri" w:eastAsia="宋体" w:cs="黑体"/>
          <w:b/>
          <w:color w:val="auto"/>
          <w:kern w:val="2"/>
          <w:sz w:val="28"/>
          <w:szCs w:val="28"/>
          <w:lang w:val="en-US" w:eastAsia="zh-CN" w:bidi="ar-SA"/>
        </w:rPr>
        <w:pict>
          <v:line id="直线 324" o:spid="_x0000_s1233" o:spt="20" style="position:absolute;left:0pt;margin-left:297.5pt;margin-top:28.2pt;height:20.05pt;width:0.4pt;z-index:251830272;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宋体" w:hAnsi="宋体" w:eastAsia="宋体" w:cs="黑体"/>
          <w:b/>
          <w:color w:val="auto"/>
          <w:kern w:val="2"/>
          <w:sz w:val="28"/>
          <w:szCs w:val="28"/>
          <w:lang w:val="en-US" w:eastAsia="zh-CN" w:bidi="ar-SA"/>
        </w:rPr>
        <w:pict>
          <v:shape id="自选图形 325" o:spid="_x0000_s1234" o:spt="32" type="#_x0000_t32" style="position:absolute;left:0pt;margin-left:138.9pt;margin-top:14214.3pt;height:0.55pt;width:202.5pt;z-index:251820032;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宋体" w:hAnsi="宋体" w:eastAsia="宋体" w:cs="黑体"/>
          <w:b/>
          <w:color w:val="auto"/>
          <w:kern w:val="2"/>
          <w:sz w:val="28"/>
          <w:szCs w:val="28"/>
          <w:lang w:val="en-US" w:eastAsia="zh-CN" w:bidi="ar-SA"/>
        </w:rPr>
        <w:pict>
          <v:rect id="矩形 326" o:spid="_x0000_s1235" o:spt="1" style="position:absolute;left:0pt;margin-left:236.25pt;margin-top:4.7pt;height:22.7pt;width:117.7pt;z-index:251819008;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仿宋" w:hAnsi="仿宋"/>
                    </w:rPr>
                  </w:pPr>
                  <w:r>
                    <w:rPr>
                      <w:rFonts w:hint="eastAsia" w:ascii="仿宋" w:hAnsi="仿宋" w:eastAsia="仿宋"/>
                    </w:rPr>
                    <w:t>活性炭吸附装置</w:t>
                  </w:r>
                </w:p>
              </w:txbxContent>
            </v:textbox>
          </v:rect>
        </w:pict>
      </w:r>
    </w:p>
    <w:p>
      <w:pPr>
        <w:snapToGrid w:val="0"/>
        <w:spacing w:beforeLines="50" w:afterLines="50" w:line="500" w:lineRule="exact"/>
        <w:rPr>
          <w:rFonts w:hint="eastAsia" w:ascii="宋体" w:hAnsi="宋体"/>
          <w:b/>
          <w:color w:val="auto"/>
          <w:sz w:val="28"/>
          <w:szCs w:val="28"/>
        </w:rPr>
      </w:pPr>
      <w:r>
        <w:rPr>
          <w:rFonts w:hint="eastAsia" w:ascii="Calibri" w:hAnsi="Calibri" w:eastAsia="宋体" w:cs="黑体"/>
          <w:b/>
          <w:color w:val="auto"/>
          <w:kern w:val="2"/>
          <w:sz w:val="28"/>
          <w:szCs w:val="28"/>
          <w:lang w:val="en-US" w:eastAsia="zh-CN" w:bidi="ar-SA"/>
        </w:rPr>
        <w:pict>
          <v:rect id="矩形 327" o:spid="_x0000_s1236" o:spt="1" style="position:absolute;left:0pt;margin-left:236.25pt;margin-top:14.7pt;height:22.7pt;width:118.75pt;z-index:251821056;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snapToGrid w:val="0"/>
                    <w:jc w:val="center"/>
                    <w:rPr>
                      <w:rFonts w:hint="default" w:ascii="Times New Roman" w:hAnsi="Times New Roman" w:eastAsia="仿宋" w:cs="Times New Roman"/>
                    </w:rPr>
                  </w:pPr>
                  <w:r>
                    <w:rPr>
                      <w:rFonts w:hint="default" w:ascii="Times New Roman" w:hAnsi="Times New Roman" w:eastAsia="仿宋" w:cs="Times New Roman"/>
                    </w:rPr>
                    <w:t>17m排气筒排放</w:t>
                  </w:r>
                </w:p>
              </w:txbxContent>
            </v:textbox>
          </v:rect>
        </w:pict>
      </w:r>
    </w:p>
    <w:p>
      <w:pPr>
        <w:snapToGrid w:val="0"/>
        <w:spacing w:beforeLines="50" w:afterLines="50" w:line="500" w:lineRule="exact"/>
        <w:rPr>
          <w:rFonts w:hint="eastAsia" w:ascii="宋体" w:hAnsi="宋体"/>
          <w:b/>
          <w:color w:val="auto"/>
          <w:sz w:val="28"/>
          <w:szCs w:val="28"/>
        </w:rPr>
      </w:pPr>
      <w:r>
        <w:rPr>
          <w:rFonts w:hint="eastAsia" w:ascii="Calibri" w:hAnsi="Calibri" w:eastAsia="宋体" w:cs="黑体"/>
          <w:b/>
          <w:color w:val="auto"/>
          <w:kern w:val="2"/>
          <w:sz w:val="28"/>
          <w:szCs w:val="28"/>
          <w:lang w:val="en-US" w:eastAsia="zh-CN" w:bidi="ar-SA"/>
        </w:rPr>
        <w:pict>
          <v:rect id="矩形 328" o:spid="_x0000_s1237" o:spt="1" style="position:absolute;left:0pt;margin-left:61.65pt;margin-top:25.75pt;height:22.85pt;width:315.4pt;z-index:25179648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snapToGrid w:val="0"/>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图2.2-1有机废气处理工艺流程图</w:t>
                  </w:r>
                </w:p>
              </w:txbxContent>
            </v:textbox>
          </v:rect>
        </w:pict>
      </w:r>
    </w:p>
    <w:p>
      <w:pPr>
        <w:widowControl w:val="0"/>
        <w:wordWrap/>
        <w:adjustRightInd/>
        <w:snapToGrid/>
        <w:spacing w:line="360" w:lineRule="auto"/>
        <w:ind w:firstLine="442" w:firstLineChars="0"/>
        <w:jc w:val="left"/>
        <w:textAlignment w:val="auto"/>
        <w:rPr>
          <w:rFonts w:hint="eastAsia" w:ascii="Times New Roman" w:hAnsi="Times New Roman" w:eastAsia="仿宋" w:cs="Times New Roman"/>
          <w:color w:val="auto"/>
          <w:kern w:val="0"/>
          <w:sz w:val="28"/>
          <w:szCs w:val="28"/>
          <w:lang w:val="en-US" w:eastAsia="zh-CN" w:bidi="ar-SA"/>
        </w:rPr>
      </w:pPr>
    </w:p>
    <w:p>
      <w:pPr>
        <w:widowControl w:val="0"/>
        <w:wordWrap/>
        <w:adjustRightInd/>
        <w:snapToGrid/>
        <w:spacing w:before="0" w:beforeAutospacing="0" w:line="240" w:lineRule="auto"/>
        <w:ind w:left="0"/>
        <w:textAlignment w:val="auto"/>
        <w:outlineLvl w:val="9"/>
        <w:rPr>
          <w:rFonts w:hint="default" w:ascii="Times New Roman" w:hAnsi="Times New Roman" w:eastAsia="仿宋" w:cs="Times New Roman"/>
          <w:b/>
          <w:color w:val="auto"/>
          <w:sz w:val="28"/>
          <w:szCs w:val="28"/>
          <w:lang w:eastAsia="zh-CN"/>
        </w:rPr>
      </w:pPr>
      <w:r>
        <w:rPr>
          <w:rFonts w:hint="default" w:ascii="Times New Roman" w:hAnsi="Times New Roman" w:eastAsia="仿宋" w:cs="Times New Roman"/>
          <w:b/>
          <w:color w:val="auto"/>
          <w:sz w:val="28"/>
          <w:szCs w:val="28"/>
          <w:lang w:eastAsia="zh-CN"/>
        </w:rPr>
        <w:t>2.2.</w:t>
      </w:r>
      <w:r>
        <w:rPr>
          <w:rFonts w:hint="default" w:ascii="Times New Roman" w:hAnsi="Times New Roman" w:eastAsia="仿宋" w:cs="Times New Roman"/>
          <w:b/>
          <w:color w:val="auto"/>
          <w:sz w:val="28"/>
          <w:szCs w:val="28"/>
          <w:lang w:val="en-US" w:eastAsia="zh-CN"/>
        </w:rPr>
        <w:t>6</w:t>
      </w:r>
      <w:r>
        <w:rPr>
          <w:rFonts w:hint="default" w:ascii="Times New Roman" w:hAnsi="Times New Roman" w:eastAsia="仿宋" w:cs="Times New Roman"/>
          <w:b/>
          <w:color w:val="auto"/>
          <w:sz w:val="28"/>
          <w:szCs w:val="28"/>
          <w:lang w:eastAsia="zh-CN"/>
        </w:rPr>
        <w:t>.</w:t>
      </w:r>
      <w:r>
        <w:rPr>
          <w:rFonts w:hint="default" w:ascii="Times New Roman" w:hAnsi="Times New Roman" w:eastAsia="仿宋" w:cs="Times New Roman"/>
          <w:b/>
          <w:color w:val="auto"/>
          <w:sz w:val="28"/>
          <w:szCs w:val="28"/>
          <w:lang w:val="en-US" w:eastAsia="zh-CN"/>
        </w:rPr>
        <w:t>2</w:t>
      </w:r>
      <w:r>
        <w:rPr>
          <w:rFonts w:hint="default" w:ascii="Times New Roman" w:hAnsi="Times New Roman" w:eastAsia="仿宋" w:cs="Times New Roman"/>
          <w:b/>
          <w:color w:val="auto"/>
          <w:sz w:val="28"/>
          <w:szCs w:val="28"/>
          <w:lang w:eastAsia="zh-CN"/>
        </w:rPr>
        <w:t>水污染防治措施</w:t>
      </w:r>
    </w:p>
    <w:p>
      <w:pPr>
        <w:snapToGrid w:val="0"/>
        <w:ind w:firstLine="560" w:firstLineChars="200"/>
        <w:rPr>
          <w:rFonts w:hint="eastAsia" w:eastAsia="仿宋"/>
          <w:color w:val="auto"/>
          <w:sz w:val="28"/>
          <w:szCs w:val="28"/>
        </w:rPr>
      </w:pPr>
      <w:r>
        <w:rPr>
          <w:rFonts w:hint="default" w:ascii="Times New Roman" w:hAnsi="Times New Roman" w:eastAsia="仿宋" w:cs="Times New Roman"/>
          <w:color w:val="auto"/>
          <w:sz w:val="28"/>
          <w:szCs w:val="28"/>
        </w:rPr>
        <w:t>该公司在厂区东侧建有化粪池，厂区</w:t>
      </w:r>
      <w:r>
        <w:rPr>
          <w:rFonts w:hint="eastAsia" w:ascii="Times New Roman" w:hAnsi="Times New Roman" w:eastAsia="仿宋" w:cs="Times New Roman"/>
          <w:color w:val="auto"/>
          <w:sz w:val="28"/>
          <w:szCs w:val="28"/>
          <w:lang w:eastAsia="zh-CN"/>
        </w:rPr>
        <w:t>西</w:t>
      </w:r>
      <w:r>
        <w:rPr>
          <w:rFonts w:hint="default" w:ascii="Times New Roman" w:hAnsi="Times New Roman" w:eastAsia="仿宋" w:cs="Times New Roman"/>
          <w:color w:val="auto"/>
          <w:sz w:val="28"/>
          <w:szCs w:val="28"/>
        </w:rPr>
        <w:t>北侧建有污水处理站</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构筑物情况见表2.2-7</w:t>
      </w:r>
      <w:r>
        <w:rPr>
          <w:rFonts w:hint="eastAsia" w:eastAsia="仿宋"/>
          <w:color w:val="auto"/>
          <w:sz w:val="28"/>
          <w:szCs w:val="28"/>
        </w:rPr>
        <w:t>。</w:t>
      </w:r>
    </w:p>
    <w:p>
      <w:pPr>
        <w:spacing w:line="500" w:lineRule="exact"/>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表2.2-7污水处理站构筑物情况</w:t>
      </w:r>
    </w:p>
    <w:tbl>
      <w:tblPr>
        <w:tblStyle w:val="21"/>
        <w:tblW w:w="100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5"/>
        <w:gridCol w:w="3039"/>
        <w:gridCol w:w="4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715" w:type="dxa"/>
            <w:vAlign w:val="center"/>
          </w:tcPr>
          <w:p>
            <w:pPr>
              <w:adjustRightInd w:val="0"/>
              <w:snapToGrid w:val="0"/>
              <w:jc w:val="center"/>
              <w:rPr>
                <w:rFonts w:hint="default" w:ascii="Times New Roman" w:hAnsi="Times New Roman" w:eastAsia="仿宋" w:cs="Times New Roman"/>
                <w:b/>
                <w:snapToGrid w:val="0"/>
                <w:color w:val="auto"/>
                <w:kern w:val="0"/>
                <w:sz w:val="21"/>
                <w:szCs w:val="21"/>
                <w:highlight w:val="none"/>
              </w:rPr>
            </w:pPr>
            <w:r>
              <w:rPr>
                <w:rFonts w:hint="default" w:ascii="Times New Roman" w:hAnsi="Times New Roman" w:eastAsia="仿宋" w:cs="Times New Roman"/>
                <w:b/>
                <w:snapToGrid w:val="0"/>
                <w:color w:val="auto"/>
                <w:kern w:val="0"/>
                <w:sz w:val="21"/>
                <w:szCs w:val="21"/>
                <w:highlight w:val="none"/>
              </w:rPr>
              <w:t>名称</w:t>
            </w:r>
          </w:p>
        </w:tc>
        <w:tc>
          <w:tcPr>
            <w:tcW w:w="3039" w:type="dxa"/>
            <w:vAlign w:val="center"/>
          </w:tcPr>
          <w:p>
            <w:pPr>
              <w:adjustRightInd w:val="0"/>
              <w:snapToGrid w:val="0"/>
              <w:jc w:val="center"/>
              <w:rPr>
                <w:rFonts w:hint="default" w:ascii="Times New Roman" w:hAnsi="Times New Roman" w:eastAsia="仿宋" w:cs="Times New Roman"/>
                <w:b/>
                <w:snapToGrid w:val="0"/>
                <w:color w:val="auto"/>
                <w:kern w:val="0"/>
                <w:sz w:val="21"/>
                <w:szCs w:val="21"/>
                <w:highlight w:val="none"/>
              </w:rPr>
            </w:pPr>
            <w:r>
              <w:rPr>
                <w:rFonts w:hint="default" w:ascii="Times New Roman" w:hAnsi="Times New Roman" w:eastAsia="仿宋" w:cs="Times New Roman"/>
                <w:b/>
                <w:snapToGrid w:val="0"/>
                <w:color w:val="auto"/>
                <w:kern w:val="0"/>
                <w:sz w:val="21"/>
                <w:szCs w:val="21"/>
                <w:highlight w:val="none"/>
              </w:rPr>
              <w:t>占地面积（m</w:t>
            </w:r>
            <w:r>
              <w:rPr>
                <w:rFonts w:hint="default" w:ascii="Times New Roman" w:hAnsi="Times New Roman" w:eastAsia="仿宋" w:cs="Times New Roman"/>
                <w:b/>
                <w:snapToGrid w:val="0"/>
                <w:color w:val="auto"/>
                <w:kern w:val="0"/>
                <w:sz w:val="21"/>
                <w:szCs w:val="21"/>
                <w:highlight w:val="none"/>
                <w:vertAlign w:val="superscript"/>
              </w:rPr>
              <w:t>2</w:t>
            </w:r>
            <w:r>
              <w:rPr>
                <w:rFonts w:hint="default" w:ascii="Times New Roman" w:hAnsi="Times New Roman" w:eastAsia="仿宋" w:cs="Times New Roman"/>
                <w:b/>
                <w:snapToGrid w:val="0"/>
                <w:color w:val="auto"/>
                <w:kern w:val="0"/>
                <w:sz w:val="21"/>
                <w:szCs w:val="21"/>
                <w:highlight w:val="none"/>
              </w:rPr>
              <w:t>）</w:t>
            </w:r>
          </w:p>
        </w:tc>
        <w:tc>
          <w:tcPr>
            <w:tcW w:w="4288" w:type="dxa"/>
            <w:vAlign w:val="center"/>
          </w:tcPr>
          <w:p>
            <w:pPr>
              <w:adjustRightInd w:val="0"/>
              <w:snapToGrid w:val="0"/>
              <w:jc w:val="center"/>
              <w:rPr>
                <w:rFonts w:hint="default" w:ascii="Times New Roman" w:hAnsi="Times New Roman" w:eastAsia="仿宋" w:cs="Times New Roman"/>
                <w:b/>
                <w:snapToGrid w:val="0"/>
                <w:color w:val="auto"/>
                <w:kern w:val="0"/>
                <w:sz w:val="21"/>
                <w:szCs w:val="21"/>
                <w:highlight w:val="none"/>
              </w:rPr>
            </w:pPr>
            <w:r>
              <w:rPr>
                <w:rFonts w:hint="default" w:ascii="Times New Roman" w:hAnsi="Times New Roman" w:eastAsia="仿宋" w:cs="Times New Roman"/>
                <w:b/>
                <w:snapToGrid w:val="0"/>
                <w:color w:val="auto"/>
                <w:kern w:val="0"/>
                <w:sz w:val="21"/>
                <w:szCs w:val="21"/>
                <w:highlight w:val="none"/>
              </w:rPr>
              <w:t>有效容积（m</w:t>
            </w:r>
            <w:r>
              <w:rPr>
                <w:rFonts w:hint="default" w:ascii="Times New Roman" w:hAnsi="Times New Roman" w:eastAsia="仿宋" w:cs="Times New Roman"/>
                <w:b/>
                <w:snapToGrid w:val="0"/>
                <w:color w:val="auto"/>
                <w:kern w:val="0"/>
                <w:sz w:val="21"/>
                <w:szCs w:val="21"/>
                <w:highlight w:val="none"/>
                <w:vertAlign w:val="superscript"/>
              </w:rPr>
              <w:t>3</w:t>
            </w:r>
            <w:r>
              <w:rPr>
                <w:rFonts w:hint="default" w:ascii="Times New Roman" w:hAnsi="Times New Roman" w:eastAsia="仿宋" w:cs="Times New Roman"/>
                <w:b/>
                <w:snapToGrid w:val="0"/>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15" w:type="dxa"/>
            <w:vAlign w:val="center"/>
          </w:tcPr>
          <w:p>
            <w:pPr>
              <w:adjustRightInd w:val="0"/>
              <w:snapToGrid w:val="0"/>
              <w:jc w:val="center"/>
              <w:rPr>
                <w:rFonts w:hint="default" w:ascii="Times New Roman" w:hAnsi="Times New Roman" w:eastAsia="仿宋" w:cs="Times New Roman"/>
                <w:b w:val="0"/>
                <w:bCs w:val="0"/>
                <w:snapToGrid w:val="0"/>
                <w:color w:val="auto"/>
                <w:kern w:val="0"/>
                <w:sz w:val="21"/>
                <w:szCs w:val="21"/>
              </w:rPr>
            </w:pPr>
            <w:r>
              <w:rPr>
                <w:rFonts w:hint="default" w:ascii="Times New Roman" w:hAnsi="Times New Roman" w:eastAsia="仿宋" w:cs="Times New Roman"/>
                <w:b w:val="0"/>
                <w:bCs w:val="0"/>
                <w:snapToGrid w:val="0"/>
                <w:color w:val="auto"/>
                <w:kern w:val="0"/>
                <w:sz w:val="21"/>
                <w:szCs w:val="21"/>
              </w:rPr>
              <w:t>化粪池</w:t>
            </w:r>
          </w:p>
        </w:tc>
        <w:tc>
          <w:tcPr>
            <w:tcW w:w="3039" w:type="dxa"/>
            <w:vAlign w:val="center"/>
          </w:tcPr>
          <w:p>
            <w:pPr>
              <w:adjustRightInd w:val="0"/>
              <w:snapToGrid w:val="0"/>
              <w:jc w:val="center"/>
              <w:rPr>
                <w:rFonts w:hint="default" w:ascii="Times New Roman" w:hAnsi="Times New Roman" w:eastAsia="仿宋" w:cs="Times New Roman"/>
                <w:b w:val="0"/>
                <w:bCs w:val="0"/>
                <w:snapToGrid w:val="0"/>
                <w:color w:val="auto"/>
                <w:kern w:val="0"/>
                <w:sz w:val="21"/>
                <w:szCs w:val="21"/>
              </w:rPr>
            </w:pPr>
            <w:r>
              <w:rPr>
                <w:rFonts w:hint="default" w:ascii="Times New Roman" w:hAnsi="Times New Roman" w:eastAsia="仿宋" w:cs="Times New Roman"/>
                <w:b w:val="0"/>
                <w:bCs w:val="0"/>
                <w:snapToGrid w:val="0"/>
                <w:color w:val="auto"/>
                <w:kern w:val="0"/>
                <w:sz w:val="21"/>
                <w:szCs w:val="21"/>
              </w:rPr>
              <w:t>5.95</w:t>
            </w:r>
            <w:r>
              <w:rPr>
                <w:rFonts w:hint="default" w:ascii="Times New Roman" w:hAnsi="Times New Roman" w:eastAsia="仿宋" w:cs="Times New Roman"/>
                <w:b w:val="0"/>
                <w:bCs w:val="0"/>
                <w:snapToGrid w:val="0"/>
                <w:color w:val="auto"/>
                <w:kern w:val="0"/>
                <w:sz w:val="21"/>
                <w:szCs w:val="21"/>
                <w:highlight w:val="none"/>
              </w:rPr>
              <w:t>m</w:t>
            </w:r>
            <w:r>
              <w:rPr>
                <w:rFonts w:hint="default" w:ascii="Times New Roman" w:hAnsi="Times New Roman" w:eastAsia="仿宋" w:cs="Times New Roman"/>
                <w:b w:val="0"/>
                <w:bCs w:val="0"/>
                <w:snapToGrid w:val="0"/>
                <w:color w:val="auto"/>
                <w:kern w:val="0"/>
                <w:sz w:val="21"/>
                <w:szCs w:val="21"/>
                <w:highlight w:val="none"/>
                <w:vertAlign w:val="superscript"/>
              </w:rPr>
              <w:t>2</w:t>
            </w:r>
          </w:p>
        </w:tc>
        <w:tc>
          <w:tcPr>
            <w:tcW w:w="4288" w:type="dxa"/>
            <w:vAlign w:val="center"/>
          </w:tcPr>
          <w:p>
            <w:pPr>
              <w:adjustRightInd w:val="0"/>
              <w:snapToGrid w:val="0"/>
              <w:jc w:val="center"/>
              <w:rPr>
                <w:rFonts w:hint="default" w:ascii="Times New Roman" w:hAnsi="Times New Roman" w:eastAsia="仿宋" w:cs="Times New Roman"/>
                <w:b w:val="0"/>
                <w:bCs w:val="0"/>
                <w:snapToGrid w:val="0"/>
                <w:color w:val="auto"/>
                <w:kern w:val="0"/>
                <w:sz w:val="21"/>
                <w:szCs w:val="21"/>
              </w:rPr>
            </w:pPr>
            <w:r>
              <w:rPr>
                <w:rFonts w:hint="default" w:ascii="Times New Roman" w:hAnsi="Times New Roman" w:eastAsia="仿宋" w:cs="Times New Roman"/>
                <w:b w:val="0"/>
                <w:bCs w:val="0"/>
                <w:snapToGrid w:val="0"/>
                <w:color w:val="auto"/>
                <w:kern w:val="0"/>
                <w:sz w:val="21"/>
                <w:szCs w:val="21"/>
              </w:rPr>
              <w:t>3.8m×1.7m×1.7m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715" w:type="dxa"/>
            <w:vAlign w:val="center"/>
          </w:tcPr>
          <w:p>
            <w:pPr>
              <w:adjustRightInd w:val="0"/>
              <w:snapToGrid w:val="0"/>
              <w:jc w:val="center"/>
              <w:rPr>
                <w:rFonts w:hint="eastAsia" w:ascii="Times New Roman" w:hAnsi="Times New Roman" w:eastAsia="仿宋" w:cs="Times New Roman"/>
                <w:b w:val="0"/>
                <w:bCs w:val="0"/>
                <w:color w:val="auto"/>
                <w:sz w:val="21"/>
                <w:szCs w:val="21"/>
                <w:lang w:eastAsia="zh-CN"/>
              </w:rPr>
            </w:pPr>
            <w:r>
              <w:rPr>
                <w:rFonts w:hint="eastAsia" w:ascii="Times New Roman" w:hAnsi="Times New Roman" w:eastAsia="仿宋" w:cs="Times New Roman"/>
                <w:b w:val="0"/>
                <w:bCs w:val="0"/>
                <w:color w:val="auto"/>
                <w:sz w:val="21"/>
                <w:szCs w:val="21"/>
                <w:lang w:eastAsia="zh-CN"/>
              </w:rPr>
              <w:t>地埋式一体化设备</w:t>
            </w:r>
          </w:p>
        </w:tc>
        <w:tc>
          <w:tcPr>
            <w:tcW w:w="3039" w:type="dxa"/>
            <w:vAlign w:val="center"/>
          </w:tcPr>
          <w:p>
            <w:pPr>
              <w:adjustRightInd w:val="0"/>
              <w:snapToGrid w:val="0"/>
              <w:jc w:val="center"/>
              <w:rPr>
                <w:rFonts w:hint="default" w:ascii="Times New Roman" w:hAnsi="Times New Roman" w:eastAsia="仿宋" w:cs="Times New Roman"/>
                <w:b w:val="0"/>
                <w:bCs w:val="0"/>
                <w:snapToGrid w:val="0"/>
                <w:color w:val="auto"/>
                <w:kern w:val="0"/>
                <w:sz w:val="21"/>
                <w:szCs w:val="21"/>
                <w:lang w:val="en-US" w:eastAsia="zh-CN"/>
              </w:rPr>
            </w:pPr>
            <w:r>
              <w:rPr>
                <w:rFonts w:hint="eastAsia" w:ascii="Times New Roman" w:hAnsi="Times New Roman" w:eastAsia="仿宋" w:cs="Times New Roman"/>
                <w:b w:val="0"/>
                <w:bCs w:val="0"/>
                <w:snapToGrid w:val="0"/>
                <w:color w:val="auto"/>
                <w:kern w:val="0"/>
                <w:sz w:val="21"/>
                <w:szCs w:val="21"/>
                <w:lang w:val="en-US" w:eastAsia="zh-CN"/>
              </w:rPr>
              <w:t>93</w:t>
            </w:r>
            <w:r>
              <w:rPr>
                <w:rFonts w:hint="default" w:ascii="Times New Roman" w:hAnsi="Times New Roman" w:eastAsia="仿宋" w:cs="Times New Roman"/>
                <w:b w:val="0"/>
                <w:bCs w:val="0"/>
                <w:snapToGrid w:val="0"/>
                <w:color w:val="auto"/>
                <w:kern w:val="0"/>
                <w:sz w:val="21"/>
                <w:szCs w:val="21"/>
                <w:highlight w:val="none"/>
              </w:rPr>
              <w:t>m</w:t>
            </w:r>
            <w:r>
              <w:rPr>
                <w:rFonts w:hint="default" w:ascii="Times New Roman" w:hAnsi="Times New Roman" w:eastAsia="仿宋" w:cs="Times New Roman"/>
                <w:b w:val="0"/>
                <w:bCs w:val="0"/>
                <w:snapToGrid w:val="0"/>
                <w:color w:val="auto"/>
                <w:kern w:val="0"/>
                <w:sz w:val="21"/>
                <w:szCs w:val="21"/>
                <w:highlight w:val="none"/>
                <w:vertAlign w:val="superscript"/>
              </w:rPr>
              <w:t>2</w:t>
            </w:r>
          </w:p>
        </w:tc>
        <w:tc>
          <w:tcPr>
            <w:tcW w:w="4288" w:type="dxa"/>
            <w:vAlign w:val="center"/>
          </w:tcPr>
          <w:p>
            <w:pPr>
              <w:adjustRightInd w:val="0"/>
              <w:snapToGrid w:val="0"/>
              <w:jc w:val="center"/>
              <w:rPr>
                <w:rFonts w:hint="default" w:ascii="Times New Roman" w:hAnsi="Times New Roman" w:eastAsia="仿宋" w:cs="Times New Roman"/>
                <w:b w:val="0"/>
                <w:bCs w:val="0"/>
                <w:snapToGrid w:val="0"/>
                <w:color w:val="auto"/>
                <w:kern w:val="0"/>
                <w:sz w:val="21"/>
                <w:szCs w:val="21"/>
              </w:rPr>
            </w:pPr>
            <w:r>
              <w:rPr>
                <w:rFonts w:hint="default" w:ascii="Times New Roman" w:hAnsi="Times New Roman" w:eastAsia="仿宋" w:cs="Times New Roman"/>
                <w:b w:val="0"/>
                <w:bCs w:val="0"/>
                <w:snapToGrid w:val="0"/>
                <w:color w:val="auto"/>
                <w:kern w:val="0"/>
                <w:sz w:val="21"/>
                <w:szCs w:val="21"/>
              </w:rPr>
              <w:t>13m×3m×3m</w:t>
            </w:r>
          </w:p>
        </w:tc>
      </w:tr>
    </w:tbl>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地面冲洗水、实验废水、废气治理碱喷淋塔定期排放的废水及初期雨水一同经地埋式一体化设备</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格栅+调节+A/O+二沉池</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处理后排至清水池，生活污水经化粪池处理后排至清水池；软水制备废水经管道排至清水池。清水池混合废水接管至徐州工业园区污水处理厂进一步处理。后期雨水经厂区雨水管网收集后由雨水排放口排放。</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该公司</w:t>
      </w:r>
      <w:r>
        <w:rPr>
          <w:rFonts w:hint="eastAsia" w:ascii="Times New Roman" w:hAnsi="Times New Roman" w:eastAsia="仿宋" w:cs="Times New Roman"/>
          <w:color w:val="auto"/>
          <w:sz w:val="28"/>
          <w:szCs w:val="28"/>
          <w:lang w:eastAsia="zh-CN"/>
        </w:rPr>
        <w:t>地埋式一体化设备</w:t>
      </w:r>
      <w:r>
        <w:rPr>
          <w:rFonts w:hint="default" w:ascii="Times New Roman" w:hAnsi="Times New Roman" w:eastAsia="仿宋" w:cs="Times New Roman"/>
          <w:color w:val="auto"/>
          <w:sz w:val="28"/>
          <w:szCs w:val="28"/>
        </w:rPr>
        <w:t>废水处理工艺流程见图2.2-2。</w:t>
      </w:r>
    </w:p>
    <w:p>
      <w:pPr>
        <w:rPr>
          <w:rFonts w:hint="eastAsia" w:ascii="宋体" w:hAnsi="宋体"/>
          <w:b/>
          <w:color w:val="auto"/>
          <w:sz w:val="28"/>
          <w:szCs w:val="28"/>
        </w:rPr>
      </w:pPr>
      <w:r>
        <w:rPr>
          <w:rFonts w:hint="eastAsia" w:ascii="宋体" w:hAnsi="宋体" w:eastAsia="宋体" w:cs="黑体"/>
          <w:b/>
          <w:color w:val="auto"/>
          <w:kern w:val="2"/>
          <w:sz w:val="28"/>
          <w:szCs w:val="28"/>
          <w:lang w:val="en-US" w:eastAsia="zh-CN" w:bidi="ar-SA"/>
        </w:rPr>
        <w:pict>
          <v:rect id="_x0000_s1238" o:spid="_x0000_s1238" o:spt="1" style="position:absolute;left:0pt;margin-left:135.6pt;margin-top:25.7pt;height:22.7pt;width:53.6pt;z-index:251862016;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仿宋" w:hAnsi="仿宋" w:eastAsia="仿宋"/>
                      <w:sz w:val="21"/>
                      <w:szCs w:val="21"/>
                      <w:lang w:eastAsia="zh-CN"/>
                    </w:rPr>
                  </w:pPr>
                  <w:r>
                    <w:rPr>
                      <w:rFonts w:hint="eastAsia" w:ascii="仿宋" w:hAnsi="仿宋" w:eastAsia="仿宋"/>
                      <w:sz w:val="21"/>
                      <w:szCs w:val="21"/>
                      <w:lang w:eastAsia="zh-CN"/>
                    </w:rPr>
                    <w:t>清水池</w:t>
                  </w:r>
                </w:p>
              </w:txbxContent>
            </v:textbox>
          </v:rect>
        </w:pict>
      </w:r>
      <w:r>
        <w:rPr>
          <w:rFonts w:hint="eastAsia" w:ascii="宋体" w:hAnsi="宋体" w:eastAsia="宋体" w:cs="黑体"/>
          <w:b/>
          <w:color w:val="auto"/>
          <w:kern w:val="2"/>
          <w:sz w:val="28"/>
          <w:szCs w:val="28"/>
          <w:lang w:val="en-US" w:eastAsia="zh-CN" w:bidi="ar-SA"/>
        </w:rPr>
        <w:pict>
          <v:rect id="矩形 329" o:spid="_x0000_s1239" o:spt="1" style="position:absolute;left:0pt;margin-left:45.65pt;margin-top:24.55pt;height:22.7pt;width:53.6pt;z-index:251842560;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snapToGrid w:val="0"/>
                    <w:rPr>
                      <w:rFonts w:hint="eastAsia" w:ascii="仿宋" w:hAnsi="仿宋" w:eastAsia="仿宋"/>
                      <w:sz w:val="21"/>
                      <w:szCs w:val="21"/>
                    </w:rPr>
                  </w:pPr>
                  <w:r>
                    <w:rPr>
                      <w:rFonts w:hint="eastAsia" w:ascii="仿宋" w:hAnsi="仿宋" w:eastAsia="仿宋"/>
                      <w:sz w:val="21"/>
                      <w:szCs w:val="21"/>
                    </w:rPr>
                    <w:t>化粪池</w:t>
                  </w:r>
                </w:p>
              </w:txbxContent>
            </v:textbox>
          </v:rect>
        </w:pict>
      </w:r>
      <w:r>
        <w:rPr>
          <w:rFonts w:hint="eastAsia" w:ascii="宋体" w:hAnsi="宋体" w:eastAsia="宋体" w:cs="黑体"/>
          <w:b/>
          <w:color w:val="auto"/>
          <w:kern w:val="2"/>
          <w:sz w:val="28"/>
          <w:szCs w:val="28"/>
          <w:lang w:val="en-US" w:eastAsia="zh-CN" w:bidi="ar-SA"/>
        </w:rPr>
        <w:pict>
          <v:rect id="矩形 330" o:spid="_x0000_s1240" o:spt="1" style="position:absolute;left:0pt;margin-left:-17.2pt;margin-top:12.6pt;height:22.7pt;width:62.85pt;z-index:25184460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snapToGrid w:val="0"/>
                    <w:jc w:val="center"/>
                    <w:rPr>
                      <w:rFonts w:hint="eastAsia" w:ascii="仿宋" w:hAnsi="仿宋" w:eastAsia="仿宋"/>
                      <w:sz w:val="21"/>
                      <w:szCs w:val="21"/>
                    </w:rPr>
                  </w:pPr>
                  <w:r>
                    <w:rPr>
                      <w:rFonts w:hint="eastAsia" w:ascii="仿宋" w:hAnsi="仿宋" w:eastAsia="仿宋"/>
                      <w:sz w:val="21"/>
                      <w:szCs w:val="21"/>
                    </w:rPr>
                    <w:t>生活污水</w:t>
                  </w:r>
                </w:p>
              </w:txbxContent>
            </v:textbox>
          </v:rect>
        </w:pict>
      </w:r>
    </w:p>
    <w:p>
      <w:pPr>
        <w:rPr>
          <w:rFonts w:hint="eastAsia" w:ascii="宋体" w:hAnsi="宋体"/>
          <w:b/>
          <w:color w:val="auto"/>
          <w:sz w:val="28"/>
          <w:szCs w:val="28"/>
        </w:rPr>
      </w:pPr>
      <w:r>
        <w:rPr>
          <w:rFonts w:hint="eastAsia" w:ascii="宋体" w:hAnsi="宋体" w:eastAsia="宋体" w:cs="黑体"/>
          <w:b/>
          <w:color w:val="auto"/>
          <w:kern w:val="2"/>
          <w:sz w:val="28"/>
          <w:szCs w:val="28"/>
          <w:lang w:val="en-US" w:eastAsia="zh-CN" w:bidi="ar-SA"/>
        </w:rPr>
        <w:pict>
          <v:line id="直线 331" o:spid="_x0000_s1241" o:spt="20" style="position:absolute;left:0pt;flip:y;margin-left:99.7pt;margin-top:4.05pt;height:0.15pt;width:34.45pt;z-index:251854848;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宋体" w:hAnsi="宋体" w:eastAsia="宋体" w:cs="黑体"/>
          <w:b/>
          <w:color w:val="auto"/>
          <w:kern w:val="2"/>
          <w:sz w:val="28"/>
          <w:szCs w:val="28"/>
          <w:lang w:val="en-US" w:eastAsia="zh-CN" w:bidi="ar-SA"/>
        </w:rPr>
        <w:pict>
          <v:shape id="自选图形 332" o:spid="_x0000_s1242" o:spt="32" type="#_x0000_t32" style="position:absolute;left:0pt;margin-left:138.9pt;margin-top:13572.25pt;height:0.55pt;width:202.5pt;z-index:251845632;mso-width-relative:page;mso-height-relative:page;" fillcolor="#FFFFFF" filled="t" o:preferrelative="t" stroked="t" coordsize="21600,21600">
            <v:path arrowok="t"/>
            <v:fill on="t" focussize="0,0"/>
            <v:stroke color="#000000" color2="#FFFFFF" miterlimit="2" endarrow="block"/>
            <v:imagedata gain="65536f" blacklevel="0f" gamma="0" o:title=""/>
            <o:lock v:ext="edit" position="f" selection="f" grouping="f" rotation="f" cropping="f" text="f" aspectratio="f"/>
          </v:shape>
        </w:pict>
      </w:r>
      <w:r>
        <w:rPr>
          <w:rFonts w:hint="eastAsia" w:ascii="宋体" w:hAnsi="宋体" w:eastAsia="宋体" w:cs="黑体"/>
          <w:b/>
          <w:color w:val="auto"/>
          <w:kern w:val="2"/>
          <w:sz w:val="28"/>
          <w:szCs w:val="28"/>
          <w:lang w:val="en-US" w:eastAsia="zh-CN" w:bidi="ar-SA"/>
        </w:rPr>
        <w:pict>
          <v:line id="直线 334" o:spid="_x0000_s1243" o:spt="20" style="position:absolute;left:0pt;margin-left:7.05pt;margin-top:4.1pt;height:0.05pt;width:37.6pt;z-index:251843584;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p>
    <w:p>
      <w:pPr>
        <w:rPr>
          <w:rFonts w:hint="eastAsia" w:ascii="宋体" w:hAnsi="宋体"/>
          <w:b/>
          <w:color w:val="auto"/>
          <w:sz w:val="28"/>
          <w:szCs w:val="28"/>
        </w:rPr>
      </w:pPr>
      <w:r>
        <w:rPr>
          <w:rFonts w:hint="eastAsia" w:ascii="宋体" w:hAnsi="宋体" w:eastAsia="宋体" w:cs="黑体"/>
          <w:b/>
          <w:color w:val="auto"/>
          <w:kern w:val="2"/>
          <w:sz w:val="28"/>
          <w:szCs w:val="28"/>
          <w:lang w:val="en-US" w:eastAsia="zh-CN" w:bidi="ar-SA"/>
        </w:rPr>
        <w:pict>
          <v:shape id="自选图形 335" o:spid="_x0000_s1244" o:spt="32" type="#_x0000_t32" style="position:absolute;left:0pt;margin-left:138.9pt;margin-top:13541.05pt;height:0.55pt;width:202.5pt;z-index:251846656;mso-width-relative:page;mso-height-relative:page;" fillcolor="#FFFFFF" filled="t" o:preferrelative="t" stroked="t" coordsize="21600,21600">
            <v:path arrowok="t"/>
            <v:fill on="t" focussize="0,0"/>
            <v:stroke color="#000000" color2="#FFFFFF" miterlimit="2" dashstyle="1 1"/>
            <v:imagedata gain="65536f" blacklevel="0f" gamma="0" o:title=""/>
            <o:lock v:ext="edit" position="f" selection="f" grouping="f" rotation="f" cropping="f" text="f" aspectratio="f"/>
          </v:shape>
        </w:pict>
      </w:r>
      <w:r>
        <w:rPr>
          <w:rFonts w:hint="eastAsia" w:ascii="宋体" w:hAnsi="宋体" w:eastAsia="宋体" w:cs="黑体"/>
          <w:b/>
          <w:color w:val="auto"/>
          <w:kern w:val="2"/>
          <w:sz w:val="28"/>
          <w:szCs w:val="28"/>
          <w:lang w:val="en-US" w:eastAsia="zh-CN" w:bidi="ar-SA"/>
        </w:rPr>
        <w:pict>
          <v:shape id="自选图形 336" o:spid="_x0000_s1245" o:spt="32" type="#_x0000_t32" style="position:absolute;left:0pt;margin-left:138.9pt;margin-top:13541.05pt;height:0.55pt;width:202.5pt;z-index:251847680;mso-width-relative:page;mso-height-relative:page;" fillcolor="#FFFFFF" filled="t" o:preferrelative="t" stroked="t" coordsize="21600,21600">
            <v:path arrowok="t"/>
            <v:fill on="t" focussize="0,0"/>
            <v:stroke color="#000000" color2="#FFFFFF" miterlimit="2" dashstyle="1 1"/>
            <v:imagedata gain="65536f" blacklevel="0f" gamma="0" o:title=""/>
            <o:lock v:ext="edit" position="f" selection="f" grouping="f" rotation="f" cropping="f" text="f" aspectratio="f"/>
          </v:shape>
        </w:pict>
      </w:r>
      <w:r>
        <w:rPr>
          <w:rFonts w:hint="eastAsia" w:ascii="宋体" w:hAnsi="宋体" w:eastAsia="宋体" w:cs="黑体"/>
          <w:b/>
          <w:color w:val="auto"/>
          <w:kern w:val="2"/>
          <w:sz w:val="28"/>
          <w:szCs w:val="28"/>
          <w:lang w:val="en-US" w:eastAsia="zh-CN" w:bidi="ar-SA"/>
        </w:rPr>
        <w:pict>
          <v:shape id="自选图形 337" o:spid="_x0000_s1246" o:spt="32" type="#_x0000_t32" style="position:absolute;left:0pt;margin-left:138.9pt;margin-top:13541.05pt;height:0.55pt;width:202.5pt;z-index:251848704;mso-width-relative:page;mso-height-relative:page;" fillcolor="#FFFFFF" filled="t" o:preferrelative="t" stroked="t" coordsize="21600,21600">
            <v:path arrowok="t"/>
            <v:fill on="t" focussize="0,0"/>
            <v:stroke color="#000000" color2="#FFFFFF" miterlimit="2" dashstyle="1 1" endarrow="block"/>
            <v:imagedata gain="65536f" blacklevel="0f" gamma="0" o:title=""/>
            <o:lock v:ext="edit" position="f" selection="f" grouping="f" rotation="f" cropping="f" text="f" aspectratio="f"/>
          </v:shape>
        </w:pict>
      </w:r>
    </w:p>
    <w:p>
      <w:pPr>
        <w:rPr>
          <w:rFonts w:hint="eastAsia" w:ascii="宋体" w:hAnsi="宋体"/>
          <w:b/>
          <w:color w:val="auto"/>
          <w:sz w:val="28"/>
          <w:szCs w:val="28"/>
        </w:rPr>
      </w:pPr>
      <w:r>
        <w:rPr>
          <w:rFonts w:hint="eastAsia" w:ascii="宋体" w:hAnsi="宋体" w:eastAsia="宋体" w:cs="黑体"/>
          <w:b/>
          <w:color w:val="auto"/>
          <w:kern w:val="2"/>
          <w:sz w:val="28"/>
          <w:szCs w:val="28"/>
          <w:lang w:val="en-US" w:eastAsia="zh-CN" w:bidi="ar-SA"/>
        </w:rPr>
        <w:pict>
          <v:rect id="矩形 338" o:spid="_x0000_s1247" o:spt="1" style="position:absolute;left:0pt;margin-left:40.3pt;margin-top:13.4pt;height:22.7pt;width:71.3pt;z-index:251833344;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仿宋" w:hAnsi="仿宋" w:eastAsia="仿宋"/>
                      <w:sz w:val="21"/>
                      <w:szCs w:val="21"/>
                    </w:rPr>
                  </w:pPr>
                  <w:r>
                    <w:rPr>
                      <w:rFonts w:hint="eastAsia" w:ascii="仿宋" w:hAnsi="仿宋" w:eastAsia="仿宋"/>
                      <w:sz w:val="21"/>
                      <w:szCs w:val="21"/>
                    </w:rPr>
                    <w:t>污水收集池池</w:t>
                  </w:r>
                </w:p>
              </w:txbxContent>
            </v:textbox>
          </v:rect>
        </w:pict>
      </w:r>
      <w:r>
        <w:rPr>
          <w:rFonts w:hint="eastAsia" w:ascii="宋体" w:hAnsi="宋体" w:eastAsia="宋体" w:cs="黑体"/>
          <w:b/>
          <w:color w:val="auto"/>
          <w:kern w:val="2"/>
          <w:sz w:val="28"/>
          <w:szCs w:val="28"/>
          <w:lang w:val="en-US" w:eastAsia="zh-CN" w:bidi="ar-SA"/>
        </w:rPr>
        <w:pict>
          <v:rect id="矩形 339" o:spid="_x0000_s1248" o:spt="1" style="position:absolute;left:0pt;margin-left:326pt;margin-top:16pt;height:22.7pt;width:82.9pt;z-index:251839488;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eastAsia="仿宋"/>
                      <w:sz w:val="21"/>
                      <w:szCs w:val="21"/>
                      <w:lang w:val="en-US" w:eastAsia="zh-CN"/>
                    </w:rPr>
                  </w:pPr>
                  <w:r>
                    <w:rPr>
                      <w:rFonts w:hint="eastAsia" w:eastAsia="仿宋"/>
                      <w:sz w:val="21"/>
                      <w:szCs w:val="21"/>
                      <w:lang w:val="en-US" w:eastAsia="zh-CN"/>
                    </w:rPr>
                    <w:t>接触氧化池</w:t>
                  </w:r>
                </w:p>
              </w:txbxContent>
            </v:textbox>
          </v:rect>
        </w:pict>
      </w:r>
      <w:r>
        <w:rPr>
          <w:rFonts w:hint="eastAsia" w:ascii="宋体" w:hAnsi="宋体" w:eastAsia="宋体" w:cs="黑体"/>
          <w:b/>
          <w:color w:val="auto"/>
          <w:kern w:val="2"/>
          <w:sz w:val="28"/>
          <w:szCs w:val="28"/>
          <w:lang w:val="en-US" w:eastAsia="zh-CN" w:bidi="ar-SA"/>
        </w:rPr>
        <w:pict>
          <v:line id="直线 340" o:spid="_x0000_s1249" o:spt="20" style="position:absolute;left:0pt;flip:y;margin-left:301.45pt;margin-top:25.4pt;height:0.05pt;width:23.25pt;z-index:251838464;mso-width-relative:page;mso-height-relative:page;" filled="f" stroked="t" coordsize="21600,21600">
            <v:path arrowok="t"/>
            <v:fill on="f" focussize="0,0"/>
            <v:stroke color="#000000" endarrow="block"/>
            <v:imagedata o:title=""/>
            <o:lock v:ext="edit" aspectratio="f"/>
          </v:line>
        </w:pict>
      </w:r>
      <w:r>
        <w:rPr>
          <w:rFonts w:hint="eastAsia" w:ascii="宋体" w:hAnsi="宋体" w:eastAsia="宋体" w:cs="黑体"/>
          <w:b/>
          <w:color w:val="auto"/>
          <w:kern w:val="2"/>
          <w:sz w:val="28"/>
          <w:szCs w:val="28"/>
          <w:lang w:val="en-US" w:eastAsia="zh-CN" w:bidi="ar-SA"/>
        </w:rPr>
        <w:pict>
          <v:rect id="矩形 341" o:spid="_x0000_s1250" o:spt="1" style="position:absolute;left:0pt;margin-left:230.3pt;margin-top:16pt;height:22.7pt;width:71.15pt;z-index:251837440;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A级厌氧池</w:t>
                  </w:r>
                </w:p>
              </w:txbxContent>
            </v:textbox>
          </v:rect>
        </w:pict>
      </w:r>
      <w:r>
        <w:rPr>
          <w:rFonts w:hint="eastAsia" w:ascii="宋体" w:hAnsi="宋体" w:eastAsia="宋体" w:cs="黑体"/>
          <w:b/>
          <w:color w:val="auto"/>
          <w:kern w:val="2"/>
          <w:sz w:val="28"/>
          <w:szCs w:val="28"/>
          <w:lang w:val="en-US" w:eastAsia="zh-CN" w:bidi="ar-SA"/>
        </w:rPr>
        <w:pict>
          <v:line id="直线 342" o:spid="_x0000_s1251" o:spt="20" style="position:absolute;left:0pt;flip:y;margin-left:207.65pt;margin-top:25.4pt;height:0.05pt;width:22.65pt;z-index:251836416;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宋体" w:hAnsi="宋体" w:eastAsia="宋体" w:cs="黑体"/>
          <w:b/>
          <w:color w:val="auto"/>
          <w:kern w:val="2"/>
          <w:sz w:val="28"/>
          <w:szCs w:val="28"/>
          <w:lang w:val="en-US" w:eastAsia="zh-CN" w:bidi="ar-SA"/>
        </w:rPr>
        <w:pict>
          <v:rect id="矩形 343" o:spid="_x0000_s1252" o:spt="1" style="position:absolute;left:0pt;margin-left:134.4pt;margin-top:16pt;height:22.7pt;width:73.25pt;z-index:251835392;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仿宋" w:hAnsi="仿宋" w:eastAsia="仿宋"/>
                      <w:sz w:val="21"/>
                      <w:szCs w:val="21"/>
                      <w:lang w:eastAsia="zh-CN"/>
                    </w:rPr>
                  </w:pPr>
                  <w:r>
                    <w:rPr>
                      <w:rFonts w:hint="eastAsia" w:ascii="仿宋" w:hAnsi="仿宋" w:eastAsia="仿宋"/>
                      <w:sz w:val="21"/>
                      <w:szCs w:val="21"/>
                      <w:lang w:eastAsia="zh-CN"/>
                    </w:rPr>
                    <w:t>气浮机</w:t>
                  </w:r>
                </w:p>
              </w:txbxContent>
            </v:textbox>
          </v:rect>
        </w:pict>
      </w:r>
      <w:r>
        <w:rPr>
          <w:rFonts w:hint="eastAsia" w:ascii="宋体" w:hAnsi="宋体" w:eastAsia="宋体" w:cs="黑体"/>
          <w:b/>
          <w:color w:val="auto"/>
          <w:kern w:val="2"/>
          <w:sz w:val="28"/>
          <w:szCs w:val="28"/>
          <w:lang w:val="en-US" w:eastAsia="zh-CN" w:bidi="ar-SA"/>
        </w:rPr>
        <w:pict>
          <v:rect id="矩形 344" o:spid="_x0000_s1253" o:spt="1" style="position:absolute;left:0pt;margin-left:-12.1pt;margin-top:1.9pt;height:22.7pt;width:57.75pt;z-index:25183232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snapToGrid w:val="0"/>
                    <w:jc w:val="center"/>
                    <w:rPr>
                      <w:rFonts w:hint="eastAsia" w:ascii="仿宋" w:hAnsi="仿宋" w:eastAsia="仿宋"/>
                      <w:sz w:val="21"/>
                      <w:szCs w:val="21"/>
                    </w:rPr>
                  </w:pPr>
                  <w:r>
                    <w:rPr>
                      <w:rFonts w:hint="eastAsia" w:ascii="仿宋" w:hAnsi="仿宋" w:eastAsia="仿宋"/>
                      <w:sz w:val="21"/>
                      <w:szCs w:val="21"/>
                    </w:rPr>
                    <w:t>混合废水</w:t>
                  </w:r>
                </w:p>
              </w:txbxContent>
            </v:textbox>
          </v:rect>
        </w:pict>
      </w:r>
      <w:r>
        <w:rPr>
          <w:rFonts w:hint="eastAsia" w:ascii="宋体" w:hAnsi="宋体" w:eastAsia="宋体" w:cs="黑体"/>
          <w:b/>
          <w:color w:val="auto"/>
          <w:kern w:val="2"/>
          <w:sz w:val="28"/>
          <w:szCs w:val="28"/>
          <w:lang w:val="en-US" w:eastAsia="zh-CN" w:bidi="ar-SA"/>
        </w:rPr>
        <w:pict>
          <v:line id="直线 345" o:spid="_x0000_s1254" o:spt="20" style="position:absolute;left:0pt;margin-left:111.6pt;margin-top:26.4pt;height:0.05pt;width:22.8pt;z-index:251834368;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宋体" w:hAnsi="宋体" w:eastAsia="宋体" w:cs="黑体"/>
          <w:b/>
          <w:color w:val="auto"/>
          <w:kern w:val="2"/>
          <w:sz w:val="28"/>
          <w:szCs w:val="28"/>
          <w:lang w:val="en-US" w:eastAsia="zh-CN" w:bidi="ar-SA"/>
        </w:rPr>
        <w:pict>
          <v:line id="直线 346" o:spid="_x0000_s1255" o:spt="20" style="position:absolute;left:0pt;margin-left:2.7pt;margin-top:25.4pt;height:0.05pt;width:37.6pt;z-index:251831296;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p>
    <w:p>
      <w:pPr>
        <w:rPr>
          <w:rFonts w:hint="eastAsia" w:ascii="宋体" w:hAnsi="宋体"/>
          <w:b/>
          <w:color w:val="auto"/>
          <w:sz w:val="28"/>
          <w:szCs w:val="28"/>
        </w:rPr>
      </w:pPr>
      <w:r>
        <w:rPr>
          <w:rFonts w:hint="eastAsia" w:ascii="宋体" w:hAnsi="宋体" w:eastAsia="宋体" w:cs="黑体"/>
          <w:b/>
          <w:color w:val="auto"/>
          <w:kern w:val="2"/>
          <w:sz w:val="28"/>
          <w:szCs w:val="28"/>
          <w:lang w:val="en-US" w:eastAsia="zh-CN" w:bidi="ar-SA"/>
        </w:rPr>
        <w:pict>
          <v:line id="直线 347" o:spid="_x0000_s1256" o:spt="20" style="position:absolute;left:0pt;margin-left:365.2pt;margin-top:7.5pt;height:56.65pt;width:0.1pt;z-index:251840512;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宋体" w:hAnsi="宋体" w:eastAsia="宋体" w:cs="黑体"/>
          <w:b/>
          <w:color w:val="auto"/>
          <w:kern w:val="2"/>
          <w:sz w:val="28"/>
          <w:szCs w:val="28"/>
          <w:lang w:val="en-US" w:eastAsia="zh-CN" w:bidi="ar-SA"/>
        </w:rPr>
        <w:pict>
          <v:shape id="自选图形 348" o:spid="_x0000_s1257" o:spt="32" type="#_x0000_t32" style="position:absolute;left:0pt;margin-left:138.9pt;margin-top:13478.65pt;height:0.55pt;width:202.5pt;z-index:251850752;mso-width-relative:page;mso-height-relative:page;" fillcolor="#FFFFFF" filled="t" o:preferrelative="t" stroked="t" coordsize="21600,21600">
            <v:path arrowok="t"/>
            <v:fill on="t" focussize="0,0"/>
            <v:stroke color="#000000" color2="#FFFFFF" miterlimit="2" dashstyle="1 1" endarrow="block"/>
            <v:imagedata gain="65536f" blacklevel="0f" gamma="0" o:title=""/>
            <o:lock v:ext="edit" position="f" selection="f" grouping="f" rotation="f" cropping="f" text="f" aspectratio="f"/>
          </v:shape>
        </w:pict>
      </w:r>
      <w:r>
        <w:rPr>
          <w:rFonts w:hint="eastAsia" w:ascii="宋体" w:hAnsi="宋体" w:eastAsia="宋体" w:cs="黑体"/>
          <w:b/>
          <w:color w:val="auto"/>
          <w:kern w:val="2"/>
          <w:sz w:val="28"/>
          <w:szCs w:val="28"/>
          <w:lang w:val="en-US" w:eastAsia="zh-CN" w:bidi="ar-SA"/>
        </w:rPr>
        <w:pict>
          <v:shape id="自选图形 349" o:spid="_x0000_s1258" o:spt="32" type="#_x0000_t32" style="position:absolute;left:0pt;margin-left:138.9pt;margin-top:13478.65pt;height:0.55pt;width:202.5pt;z-index:251849728;mso-width-relative:page;mso-height-relative:page;" fillcolor="#FFFFFF" filled="t" o:preferrelative="t" stroked="t" coordsize="21600,21600">
            <v:path arrowok="t"/>
            <v:fill on="t" focussize="0,0"/>
            <v:stroke color="#000000" color2="#FFFFFF" miterlimit="2" dashstyle="1 1" endarrow="block"/>
            <v:imagedata gain="65536f" blacklevel="0f" gamma="0" o:title=""/>
            <o:lock v:ext="edit" position="f" selection="f" grouping="f" rotation="f" cropping="f" text="f" aspectratio="f"/>
          </v:shape>
        </w:pict>
      </w:r>
    </w:p>
    <w:p>
      <w:pPr>
        <w:rPr>
          <w:rFonts w:hint="eastAsia" w:ascii="宋体" w:hAnsi="宋体"/>
          <w:b/>
          <w:color w:val="auto"/>
          <w:sz w:val="28"/>
          <w:szCs w:val="28"/>
        </w:rPr>
      </w:pPr>
      <w:r>
        <w:rPr>
          <w:rFonts w:hint="eastAsia" w:ascii="宋体" w:hAnsi="宋体" w:eastAsia="宋体" w:cs="黑体"/>
          <w:b/>
          <w:color w:val="auto"/>
          <w:kern w:val="2"/>
          <w:sz w:val="28"/>
          <w:szCs w:val="28"/>
          <w:lang w:val="en-US" w:eastAsia="zh-CN" w:bidi="ar-SA"/>
        </w:rPr>
        <w:pict>
          <v:rect id="矩形 353" o:spid="_x0000_s1262" o:spt="1" style="position:absolute;left:0pt;margin-left:169.7pt;margin-top:31.05pt;height:19.35pt;width:135.1pt;z-index:25185689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snapToGrid w:val="0"/>
                    <w:jc w:val="center"/>
                    <w:rPr>
                      <w:rFonts w:hint="eastAsia" w:ascii="仿宋" w:hAnsi="仿宋" w:eastAsia="仿宋"/>
                      <w:sz w:val="21"/>
                      <w:szCs w:val="21"/>
                      <w:lang w:eastAsia="zh-CN"/>
                    </w:rPr>
                  </w:pPr>
                  <w:r>
                    <w:rPr>
                      <w:rFonts w:hint="eastAsia" w:ascii="仿宋" w:hAnsi="仿宋" w:eastAsia="仿宋"/>
                      <w:sz w:val="21"/>
                      <w:szCs w:val="21"/>
                      <w:lang w:eastAsia="zh-CN"/>
                    </w:rPr>
                    <w:t>徐州工业园区污水处理厂</w:t>
                  </w:r>
                </w:p>
              </w:txbxContent>
            </v:textbox>
          </v:rect>
        </w:pict>
      </w:r>
      <w:r>
        <w:rPr>
          <w:rFonts w:hint="eastAsia" w:ascii="宋体" w:hAnsi="宋体" w:eastAsia="宋体" w:cs="黑体"/>
          <w:b/>
          <w:color w:val="auto"/>
          <w:kern w:val="2"/>
          <w:sz w:val="28"/>
          <w:szCs w:val="28"/>
          <w:lang w:val="en-US" w:eastAsia="zh-CN" w:bidi="ar-SA"/>
        </w:rPr>
        <w:pict>
          <v:shape id="自选图形 351" o:spid="_x0000_s1259" o:spt="32" type="#_x0000_t32" style="position:absolute;left:0pt;margin-left:138.9pt;margin-top:13447.45pt;height:0.55pt;width:202.5pt;z-index:251852800;mso-width-relative:page;mso-height-relative:page;" fillcolor="#FFFFFF" filled="t" o:preferrelative="t" stroked="t" coordsize="21600,21600">
            <v:path arrowok="t"/>
            <v:fill on="t" focussize="0,0"/>
            <v:stroke color="#000000" color2="#FFFFFF" miterlimit="2" dashstyle="1 1" endarrow="block"/>
            <v:imagedata gain="65536f" blacklevel="0f" gamma="0" o:title=""/>
            <o:lock v:ext="edit" position="f" selection="f" grouping="f" rotation="f" cropping="f" text="f" aspectratio="f"/>
          </v:shape>
        </w:pict>
      </w:r>
      <w:r>
        <w:rPr>
          <w:rFonts w:hint="eastAsia" w:ascii="宋体" w:hAnsi="宋体" w:eastAsia="宋体" w:cs="黑体"/>
          <w:b/>
          <w:color w:val="auto"/>
          <w:kern w:val="2"/>
          <w:sz w:val="28"/>
          <w:szCs w:val="28"/>
          <w:lang w:val="en-US" w:eastAsia="zh-CN" w:bidi="ar-SA"/>
        </w:rPr>
        <w:pict>
          <v:shape id="自选图形 352" o:spid="_x0000_s1260" o:spt="32" type="#_x0000_t32" style="position:absolute;left:0pt;margin-left:138.9pt;margin-top:13447.45pt;height:0.55pt;width:202.5pt;z-index:251851776;mso-width-relative:page;mso-height-relative:page;" fillcolor="#FFFFFF" filled="t" o:preferrelative="t" stroked="t" coordsize="21600,21600">
            <v:path arrowok="t"/>
            <v:fill on="t" focussize="0,0"/>
            <v:stroke color="#000000" color2="#FFFFFF" miterlimit="2" dashstyle="1 1"/>
            <v:imagedata gain="65536f" blacklevel="0f" gamma="0" o:title=""/>
            <o:lock v:ext="edit" position="f" selection="f" grouping="f" rotation="f" cropping="f" text="f" aspectratio="f"/>
          </v:shape>
        </w:pict>
      </w:r>
    </w:p>
    <w:p>
      <w:pPr>
        <w:rPr>
          <w:rFonts w:hint="eastAsia" w:ascii="宋体" w:hAnsi="宋体"/>
          <w:b/>
          <w:color w:val="auto"/>
          <w:sz w:val="28"/>
          <w:szCs w:val="28"/>
        </w:rPr>
      </w:pPr>
      <w:r>
        <w:rPr>
          <w:rFonts w:hint="eastAsia" w:ascii="Calibri" w:hAnsi="Calibri" w:eastAsia="宋体" w:cs="黑体"/>
          <w:b/>
          <w:color w:val="auto"/>
          <w:kern w:val="2"/>
          <w:sz w:val="28"/>
          <w:szCs w:val="28"/>
          <w:lang w:val="en-US" w:eastAsia="zh-CN" w:bidi="ar-SA"/>
        </w:rPr>
        <w:pict>
          <v:rect id="矩形 355" o:spid="_x0000_s1261" o:spt="1" style="position:absolute;left:0pt;margin-left:128.6pt;margin-top:30.75pt;height:23.1pt;width:221.8pt;z-index:25184153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ind w:firstLine="482" w:firstLineChars="200"/>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图2.2-2混合废水处理工艺流程图</w:t>
                  </w:r>
                </w:p>
              </w:txbxContent>
            </v:textbox>
          </v:rect>
        </w:pict>
      </w:r>
      <w:r>
        <w:rPr>
          <w:rFonts w:hint="eastAsia" w:ascii="宋体" w:hAnsi="宋体" w:eastAsia="宋体" w:cs="黑体"/>
          <w:b/>
          <w:color w:val="auto"/>
          <w:kern w:val="2"/>
          <w:sz w:val="28"/>
          <w:szCs w:val="28"/>
          <w:lang w:val="en-US" w:eastAsia="zh-CN" w:bidi="ar-SA"/>
        </w:rPr>
        <w:pict>
          <v:line id="直线 354" o:spid="_x0000_s1263" o:spt="20" style="position:absolute;left:0pt;flip:x;margin-left:302.8pt;margin-top:10.3pt;height:0.45pt;width:40.15pt;z-index:251855872;mso-width-relative:page;mso-height-relative:page;"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w:pict>
      </w:r>
      <w:r>
        <w:rPr>
          <w:rFonts w:hint="eastAsia" w:ascii="宋体" w:hAnsi="宋体" w:eastAsia="宋体" w:cs="黑体"/>
          <w:b/>
          <w:color w:val="auto"/>
          <w:kern w:val="2"/>
          <w:sz w:val="28"/>
          <w:szCs w:val="28"/>
          <w:lang w:val="en-US" w:eastAsia="zh-CN" w:bidi="ar-SA"/>
        </w:rPr>
        <w:pict>
          <v:rect id="矩形 356" o:spid="_x0000_s1264" o:spt="1" style="position:absolute;left:0pt;margin-left:342.15pt;margin-top:1.75pt;height:19.35pt;width:47.2pt;z-index:251853824;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仿宋" w:hAnsi="仿宋" w:eastAsia="仿宋"/>
                      <w:sz w:val="21"/>
                      <w:szCs w:val="21"/>
                    </w:rPr>
                  </w:pPr>
                  <w:r>
                    <w:rPr>
                      <w:rFonts w:hint="eastAsia" w:ascii="仿宋" w:hAnsi="仿宋" w:eastAsia="仿宋"/>
                      <w:sz w:val="21"/>
                      <w:szCs w:val="21"/>
                    </w:rPr>
                    <w:t>清水池</w:t>
                  </w:r>
                </w:p>
              </w:txbxContent>
            </v:textbox>
          </v:rect>
        </w:pict>
      </w:r>
    </w:p>
    <w:p>
      <w:pPr>
        <w:jc w:val="left"/>
        <w:outlineLvl w:val="9"/>
        <w:rPr>
          <w:rFonts w:hint="eastAsia" w:ascii="Times New Roman" w:hAnsi="Times New Roman" w:eastAsia="仿宋" w:cs="Times New Roman"/>
          <w:color w:val="auto"/>
          <w:kern w:val="0"/>
          <w:sz w:val="28"/>
          <w:szCs w:val="28"/>
          <w:lang w:val="en-US" w:eastAsia="zh-CN" w:bidi="ar-SA"/>
        </w:rPr>
      </w:pPr>
    </w:p>
    <w:p>
      <w:pPr>
        <w:widowControl w:val="0"/>
        <w:wordWrap/>
        <w:adjustRightInd/>
        <w:snapToGrid/>
        <w:spacing w:before="0" w:beforeAutospacing="0" w:after="0" w:line="240" w:lineRule="auto"/>
        <w:ind w:left="0"/>
        <w:textAlignment w:val="auto"/>
        <w:outlineLvl w:val="9"/>
        <w:rPr>
          <w:rFonts w:eastAsia="仿宋"/>
          <w:b/>
          <w:color w:val="auto"/>
          <w:sz w:val="28"/>
          <w:szCs w:val="28"/>
        </w:rPr>
      </w:pPr>
      <w:bookmarkStart w:id="205" w:name="_Toc516651831"/>
      <w:bookmarkStart w:id="206" w:name="_Toc525292652"/>
      <w:r>
        <w:rPr>
          <w:rFonts w:hint="eastAsia" w:ascii="Times New Roman" w:hAnsi="Times New Roman" w:cs="Times New Roman"/>
          <w:b/>
          <w:color w:val="auto"/>
          <w:sz w:val="28"/>
          <w:szCs w:val="28"/>
          <w:lang w:eastAsia="zh-CN"/>
        </w:rPr>
        <w:t>2.2.</w:t>
      </w:r>
      <w:r>
        <w:rPr>
          <w:rFonts w:hint="eastAsia" w:ascii="Times New Roman" w:hAnsi="Times New Roman" w:cs="Times New Roman"/>
          <w:b/>
          <w:color w:val="auto"/>
          <w:sz w:val="28"/>
          <w:szCs w:val="28"/>
          <w:lang w:val="en-US" w:eastAsia="zh-CN"/>
        </w:rPr>
        <w:t>6</w:t>
      </w:r>
      <w:r>
        <w:rPr>
          <w:rFonts w:hint="eastAsia" w:ascii="Times New Roman" w:hAnsi="Times New Roman" w:cs="Times New Roman"/>
          <w:b/>
          <w:color w:val="auto"/>
          <w:sz w:val="28"/>
          <w:szCs w:val="28"/>
          <w:lang w:eastAsia="zh-CN"/>
        </w:rPr>
        <w:t>.</w:t>
      </w:r>
      <w:r>
        <w:rPr>
          <w:rFonts w:hint="eastAsia" w:ascii="Times New Roman" w:hAnsi="Times New Roman" w:cs="Times New Roman"/>
          <w:b/>
          <w:color w:val="auto"/>
          <w:sz w:val="28"/>
          <w:szCs w:val="28"/>
          <w:lang w:val="en-US" w:eastAsia="zh-CN"/>
        </w:rPr>
        <w:t>3</w:t>
      </w:r>
      <w:r>
        <w:rPr>
          <w:rFonts w:hint="eastAsia" w:eastAsia="仿宋"/>
          <w:b/>
          <w:color w:val="auto"/>
          <w:sz w:val="28"/>
          <w:szCs w:val="28"/>
        </w:rPr>
        <w:t>污染物排放情况</w:t>
      </w:r>
      <w:bookmarkEnd w:id="205"/>
      <w:bookmarkEnd w:id="206"/>
    </w:p>
    <w:p>
      <w:pPr>
        <w:snapToGrid w:val="0"/>
        <w:spacing w:line="240" w:lineRule="auto"/>
        <w:ind w:firstLine="560" w:firstLineChars="200"/>
        <w:rPr>
          <w:rFonts w:hint="default" w:ascii="Times New Roman" w:hAnsi="Times New Roman" w:eastAsia="仿宋" w:cs="Times New Roman"/>
          <w:color w:val="auto"/>
          <w:sz w:val="28"/>
          <w:szCs w:val="28"/>
        </w:rPr>
      </w:pPr>
      <w:bookmarkStart w:id="207" w:name="_Toc525292653"/>
      <w:bookmarkStart w:id="208" w:name="_Toc516651832"/>
      <w:r>
        <w:rPr>
          <w:rFonts w:hint="default" w:ascii="Times New Roman" w:hAnsi="Times New Roman" w:eastAsia="仿宋" w:cs="Times New Roman"/>
          <w:color w:val="auto"/>
          <w:sz w:val="28"/>
          <w:szCs w:val="28"/>
        </w:rPr>
        <w:t>根据《江苏超力建材科技有限公司年产20万吨聚羧酸系混凝土外加剂异地搬迁技改项目环境影响报告书》、环评批复和污染防治措施设计参数，该公司污染物处理处置措施及排放情况见表2.2-8。</w:t>
      </w:r>
    </w:p>
    <w:p>
      <w:pPr>
        <w:spacing w:line="500" w:lineRule="exact"/>
        <w:jc w:val="center"/>
        <w:rPr>
          <w:rFonts w:hint="default" w:ascii="Times New Roman" w:hAnsi="Times New Roman" w:eastAsia="仿宋" w:cs="Times New Roman"/>
          <w:b/>
          <w:bCs/>
          <w:color w:val="auto"/>
          <w:sz w:val="24"/>
          <w:szCs w:val="24"/>
          <w:highlight w:val="none"/>
        </w:rPr>
      </w:pPr>
      <w:r>
        <w:rPr>
          <w:rFonts w:hint="default" w:ascii="Times New Roman" w:hAnsi="Times New Roman" w:eastAsia="仿宋" w:cs="Times New Roman"/>
          <w:b/>
          <w:bCs/>
          <w:color w:val="auto"/>
          <w:sz w:val="24"/>
          <w:szCs w:val="24"/>
          <w:highlight w:val="none"/>
        </w:rPr>
        <w:t>表2.2-8 污染物排放量及处置措施汇总</w:t>
      </w:r>
    </w:p>
    <w:tbl>
      <w:tblPr>
        <w:tblStyle w:val="21"/>
        <w:tblW w:w="10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86"/>
        <w:gridCol w:w="833"/>
        <w:gridCol w:w="149"/>
        <w:gridCol w:w="762"/>
        <w:gridCol w:w="354"/>
        <w:gridCol w:w="611"/>
        <w:gridCol w:w="965"/>
        <w:gridCol w:w="924"/>
        <w:gridCol w:w="3542"/>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01" w:type="dxa"/>
            <w:vAlign w:val="center"/>
          </w:tcPr>
          <w:p>
            <w:pPr>
              <w:adjustRightInd w:val="0"/>
              <w:snapToGrid w:val="0"/>
              <w:jc w:val="center"/>
              <w:rPr>
                <w:rFonts w:hint="default" w:ascii="Times New Roman" w:hAnsi="Times New Roman" w:eastAsia="仿宋" w:cs="Times New Roman"/>
                <w:b/>
                <w:snapToGrid w:val="0"/>
                <w:color w:val="auto"/>
                <w:kern w:val="0"/>
                <w:sz w:val="21"/>
                <w:szCs w:val="21"/>
              </w:rPr>
            </w:pPr>
            <w:r>
              <w:rPr>
                <w:rFonts w:hint="default" w:ascii="Times New Roman" w:hAnsi="Times New Roman" w:eastAsia="仿宋" w:cs="Times New Roman"/>
                <w:b/>
                <w:snapToGrid w:val="0"/>
                <w:color w:val="auto"/>
                <w:kern w:val="0"/>
                <w:sz w:val="21"/>
                <w:szCs w:val="21"/>
              </w:rPr>
              <w:t>种类</w:t>
            </w:r>
          </w:p>
        </w:tc>
        <w:tc>
          <w:tcPr>
            <w:tcW w:w="1868" w:type="dxa"/>
            <w:gridSpan w:val="3"/>
            <w:vAlign w:val="center"/>
          </w:tcPr>
          <w:p>
            <w:pPr>
              <w:adjustRightInd w:val="0"/>
              <w:snapToGrid w:val="0"/>
              <w:jc w:val="center"/>
              <w:rPr>
                <w:rFonts w:hint="default" w:ascii="Times New Roman" w:hAnsi="Times New Roman" w:eastAsia="仿宋" w:cs="Times New Roman"/>
                <w:b/>
                <w:snapToGrid w:val="0"/>
                <w:color w:val="auto"/>
                <w:kern w:val="0"/>
                <w:sz w:val="21"/>
                <w:szCs w:val="21"/>
              </w:rPr>
            </w:pPr>
            <w:r>
              <w:rPr>
                <w:rFonts w:hint="default" w:ascii="Times New Roman" w:hAnsi="Times New Roman" w:eastAsia="仿宋" w:cs="Times New Roman"/>
                <w:b/>
                <w:snapToGrid w:val="0"/>
                <w:color w:val="auto"/>
                <w:kern w:val="0"/>
                <w:sz w:val="21"/>
                <w:szCs w:val="21"/>
              </w:rPr>
              <w:t>污染物名称</w:t>
            </w:r>
          </w:p>
        </w:tc>
        <w:tc>
          <w:tcPr>
            <w:tcW w:w="1116" w:type="dxa"/>
            <w:gridSpan w:val="2"/>
            <w:vAlign w:val="center"/>
          </w:tcPr>
          <w:p>
            <w:pPr>
              <w:adjustRightInd w:val="0"/>
              <w:snapToGrid w:val="0"/>
              <w:jc w:val="center"/>
              <w:rPr>
                <w:rFonts w:hint="default" w:ascii="Times New Roman" w:hAnsi="Times New Roman" w:eastAsia="仿宋" w:cs="Times New Roman"/>
                <w:b/>
                <w:snapToGrid w:val="0"/>
                <w:color w:val="auto"/>
                <w:kern w:val="0"/>
                <w:sz w:val="21"/>
                <w:szCs w:val="21"/>
              </w:rPr>
            </w:pPr>
            <w:r>
              <w:rPr>
                <w:rFonts w:hint="default" w:ascii="Times New Roman" w:hAnsi="Times New Roman" w:eastAsia="仿宋" w:cs="Times New Roman"/>
                <w:b/>
                <w:snapToGrid w:val="0"/>
                <w:color w:val="auto"/>
                <w:kern w:val="0"/>
                <w:sz w:val="21"/>
                <w:szCs w:val="21"/>
              </w:rPr>
              <w:t>排放量</w:t>
            </w:r>
          </w:p>
        </w:tc>
        <w:tc>
          <w:tcPr>
            <w:tcW w:w="6052" w:type="dxa"/>
            <w:gridSpan w:val="5"/>
            <w:vAlign w:val="center"/>
          </w:tcPr>
          <w:p>
            <w:pPr>
              <w:adjustRightInd w:val="0"/>
              <w:snapToGrid w:val="0"/>
              <w:jc w:val="center"/>
              <w:rPr>
                <w:rFonts w:hint="default" w:ascii="Times New Roman" w:hAnsi="Times New Roman" w:eastAsia="仿宋" w:cs="Times New Roman"/>
                <w:b/>
                <w:snapToGrid w:val="0"/>
                <w:color w:val="auto"/>
                <w:kern w:val="0"/>
                <w:sz w:val="21"/>
                <w:szCs w:val="21"/>
              </w:rPr>
            </w:pPr>
            <w:r>
              <w:rPr>
                <w:rFonts w:hint="default" w:ascii="Times New Roman" w:hAnsi="Times New Roman" w:eastAsia="仿宋" w:cs="Times New Roman"/>
                <w:b/>
                <w:snapToGrid w:val="0"/>
                <w:color w:val="auto"/>
                <w:kern w:val="0"/>
                <w:sz w:val="21"/>
                <w:szCs w:val="21"/>
              </w:rPr>
              <w:t>处理处置措施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101" w:type="dxa"/>
            <w:vMerge w:val="restart"/>
            <w:vAlign w:val="center"/>
          </w:tcPr>
          <w:p>
            <w:pPr>
              <w:adjustRightInd w:val="0"/>
              <w:snapToGrid w:val="0"/>
              <w:jc w:val="center"/>
              <w:rPr>
                <w:rFonts w:hint="default" w:ascii="Times New Roman" w:hAnsi="Times New Roman" w:eastAsia="仿宋" w:cs="Times New Roman"/>
                <w:snapToGrid w:val="0"/>
                <w:color w:val="auto"/>
                <w:kern w:val="0"/>
                <w:sz w:val="21"/>
                <w:szCs w:val="21"/>
              </w:rPr>
            </w:pPr>
            <w:r>
              <w:rPr>
                <w:rFonts w:hint="default" w:ascii="Times New Roman" w:hAnsi="Times New Roman" w:eastAsia="仿宋" w:cs="Times New Roman"/>
                <w:snapToGrid w:val="0"/>
                <w:color w:val="auto"/>
                <w:kern w:val="0"/>
                <w:sz w:val="21"/>
                <w:szCs w:val="21"/>
              </w:rPr>
              <w:t>废水</w:t>
            </w:r>
          </w:p>
        </w:tc>
        <w:tc>
          <w:tcPr>
            <w:tcW w:w="1868" w:type="dxa"/>
            <w:gridSpan w:val="3"/>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混合废水</w:t>
            </w:r>
          </w:p>
        </w:tc>
        <w:tc>
          <w:tcPr>
            <w:tcW w:w="1116" w:type="dxa"/>
            <w:gridSpan w:val="2"/>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13499 t/a</w:t>
            </w:r>
          </w:p>
        </w:tc>
        <w:tc>
          <w:tcPr>
            <w:tcW w:w="6052" w:type="dxa"/>
            <w:gridSpan w:val="5"/>
            <w:vMerge w:val="restart"/>
            <w:vAlign w:val="center"/>
          </w:tcPr>
          <w:p>
            <w:pPr>
              <w:adjustRightInd w:val="0"/>
              <w:snapToGrid w:val="0"/>
              <w:jc w:val="both"/>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地面冲洗水、实验废水、废气治理碱喷淋塔定期排放的废水及初期雨水一同经地埋式一体化设备</w:t>
            </w:r>
            <w:r>
              <w:rPr>
                <w:rFonts w:hint="eastAsia"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格栅+调节+A/O+二沉池</w:t>
            </w:r>
            <w:r>
              <w:rPr>
                <w:rFonts w:hint="eastAsia"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处理后排至清水池，生活污水经化粪池处理后排至清水池；软水制备废水经管道排至清水池。清水池混合废水接管至徐州工业园区污水处理厂进一步处理</w:t>
            </w:r>
            <w:r>
              <w:rPr>
                <w:rFonts w:hint="eastAsia" w:ascii="Times New Roman" w:hAnsi="Times New Roman" w:eastAsia="仿宋"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101" w:type="dxa"/>
            <w:vMerge w:val="continue"/>
            <w:vAlign w:val="center"/>
          </w:tcPr>
          <w:p>
            <w:pPr>
              <w:adjustRightInd w:val="0"/>
              <w:snapToGrid w:val="0"/>
              <w:jc w:val="center"/>
              <w:rPr>
                <w:rFonts w:hint="default" w:ascii="Times New Roman" w:hAnsi="Times New Roman" w:eastAsia="仿宋" w:cs="Times New Roman"/>
                <w:snapToGrid w:val="0"/>
                <w:color w:val="auto"/>
                <w:kern w:val="0"/>
                <w:sz w:val="21"/>
                <w:szCs w:val="21"/>
              </w:rPr>
            </w:pPr>
          </w:p>
        </w:tc>
        <w:tc>
          <w:tcPr>
            <w:tcW w:w="1868" w:type="dxa"/>
            <w:gridSpan w:val="3"/>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COD</w:t>
            </w:r>
          </w:p>
        </w:tc>
        <w:tc>
          <w:tcPr>
            <w:tcW w:w="1116" w:type="dxa"/>
            <w:gridSpan w:val="2"/>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1.903t/a</w:t>
            </w:r>
          </w:p>
        </w:tc>
        <w:tc>
          <w:tcPr>
            <w:tcW w:w="6052" w:type="dxa"/>
            <w:gridSpan w:val="5"/>
            <w:vMerge w:val="continue"/>
            <w:vAlign w:val="center"/>
          </w:tcPr>
          <w:p>
            <w:pPr>
              <w:adjustRightInd w:val="0"/>
              <w:snapToGrid w:val="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101" w:type="dxa"/>
            <w:vMerge w:val="continue"/>
            <w:vAlign w:val="center"/>
          </w:tcPr>
          <w:p>
            <w:pPr>
              <w:adjustRightInd w:val="0"/>
              <w:snapToGrid w:val="0"/>
              <w:jc w:val="center"/>
              <w:rPr>
                <w:rFonts w:hint="default" w:ascii="Times New Roman" w:hAnsi="Times New Roman" w:eastAsia="仿宋" w:cs="Times New Roman"/>
                <w:snapToGrid w:val="0"/>
                <w:color w:val="auto"/>
                <w:kern w:val="0"/>
                <w:sz w:val="21"/>
                <w:szCs w:val="21"/>
              </w:rPr>
            </w:pPr>
          </w:p>
        </w:tc>
        <w:tc>
          <w:tcPr>
            <w:tcW w:w="1868" w:type="dxa"/>
            <w:gridSpan w:val="3"/>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NH</w:t>
            </w:r>
            <w:r>
              <w:rPr>
                <w:rFonts w:hint="default" w:ascii="Times New Roman" w:hAnsi="Times New Roman" w:eastAsia="仿宋" w:cs="Times New Roman"/>
                <w:color w:val="auto"/>
                <w:sz w:val="21"/>
                <w:szCs w:val="21"/>
                <w:vertAlign w:val="subscript"/>
              </w:rPr>
              <w:t>3</w:t>
            </w:r>
            <w:r>
              <w:rPr>
                <w:rFonts w:hint="default" w:ascii="Times New Roman" w:hAnsi="Times New Roman" w:eastAsia="仿宋" w:cs="Times New Roman"/>
                <w:color w:val="auto"/>
                <w:sz w:val="21"/>
                <w:szCs w:val="21"/>
              </w:rPr>
              <w:t>-N</w:t>
            </w:r>
          </w:p>
        </w:tc>
        <w:tc>
          <w:tcPr>
            <w:tcW w:w="1116" w:type="dxa"/>
            <w:gridSpan w:val="2"/>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0.057t/a</w:t>
            </w:r>
          </w:p>
        </w:tc>
        <w:tc>
          <w:tcPr>
            <w:tcW w:w="6052" w:type="dxa"/>
            <w:gridSpan w:val="5"/>
            <w:vMerge w:val="continue"/>
            <w:vAlign w:val="center"/>
          </w:tcPr>
          <w:p>
            <w:pPr>
              <w:adjustRightInd w:val="0"/>
              <w:snapToGrid w:val="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1101" w:type="dxa"/>
            <w:tcBorders>
              <w:bottom w:val="single" w:color="auto" w:sz="4" w:space="0"/>
            </w:tcBorders>
            <w:vAlign w:val="center"/>
          </w:tcPr>
          <w:p>
            <w:pPr>
              <w:adjustRightInd w:val="0"/>
              <w:snapToGrid w:val="0"/>
              <w:jc w:val="center"/>
              <w:rPr>
                <w:rFonts w:hint="default" w:ascii="Times New Roman" w:hAnsi="Times New Roman" w:eastAsia="仿宋" w:cs="Times New Roman"/>
                <w:snapToGrid w:val="0"/>
                <w:color w:val="auto"/>
                <w:kern w:val="0"/>
                <w:sz w:val="21"/>
                <w:szCs w:val="21"/>
              </w:rPr>
            </w:pPr>
            <w:r>
              <w:rPr>
                <w:rFonts w:hint="default" w:ascii="Times New Roman" w:hAnsi="Times New Roman" w:eastAsia="仿宋" w:cs="Times New Roman"/>
                <w:snapToGrid w:val="0"/>
                <w:color w:val="auto"/>
                <w:kern w:val="0"/>
                <w:sz w:val="21"/>
                <w:szCs w:val="21"/>
              </w:rPr>
              <w:t>废气</w:t>
            </w:r>
          </w:p>
        </w:tc>
        <w:tc>
          <w:tcPr>
            <w:tcW w:w="886" w:type="dxa"/>
            <w:tcBorders>
              <w:bottom w:val="single" w:color="auto" w:sz="4" w:space="0"/>
            </w:tcBorders>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有组织</w:t>
            </w:r>
          </w:p>
        </w:tc>
        <w:tc>
          <w:tcPr>
            <w:tcW w:w="982" w:type="dxa"/>
            <w:gridSpan w:val="2"/>
            <w:tcBorders>
              <w:bottom w:val="single" w:color="auto" w:sz="4" w:space="0"/>
            </w:tcBorders>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VOCs</w:t>
            </w:r>
          </w:p>
        </w:tc>
        <w:tc>
          <w:tcPr>
            <w:tcW w:w="1116" w:type="dxa"/>
            <w:gridSpan w:val="2"/>
            <w:tcBorders>
              <w:bottom w:val="single" w:color="auto" w:sz="4" w:space="0"/>
            </w:tcBorders>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0.363t/a</w:t>
            </w:r>
          </w:p>
        </w:tc>
        <w:tc>
          <w:tcPr>
            <w:tcW w:w="6052" w:type="dxa"/>
            <w:gridSpan w:val="5"/>
            <w:vAlign w:val="center"/>
          </w:tcPr>
          <w:p>
            <w:pPr>
              <w:adjustRightInd w:val="0"/>
              <w:snapToGrid w:val="0"/>
              <w:jc w:val="center"/>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一级纯水洗+一级碱洗+除雾干燥+活性炭吸附装置</w:t>
            </w:r>
            <w:r>
              <w:rPr>
                <w:rFonts w:hint="eastAsia" w:ascii="Times New Roman" w:hAnsi="Times New Roman" w:eastAsia="仿宋"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199" w:hRule="atLeast"/>
          <w:jc w:val="center"/>
        </w:trPr>
        <w:tc>
          <w:tcPr>
            <w:tcW w:w="1101" w:type="dxa"/>
            <w:vMerge w:val="restart"/>
            <w:vAlign w:val="center"/>
          </w:tcPr>
          <w:p>
            <w:pPr>
              <w:adjustRightInd w:val="0"/>
              <w:snapToGrid w:val="0"/>
              <w:jc w:val="center"/>
              <w:rPr>
                <w:rFonts w:hint="default" w:ascii="Times New Roman" w:hAnsi="Times New Roman" w:eastAsia="仿宋" w:cs="Times New Roman"/>
                <w:snapToGrid w:val="0"/>
                <w:color w:val="auto"/>
                <w:kern w:val="0"/>
                <w:sz w:val="21"/>
                <w:szCs w:val="21"/>
              </w:rPr>
            </w:pPr>
            <w:r>
              <w:rPr>
                <w:rFonts w:hint="default" w:ascii="Times New Roman" w:hAnsi="Times New Roman" w:eastAsia="仿宋" w:cs="Times New Roman"/>
                <w:snapToGrid w:val="0"/>
                <w:color w:val="auto"/>
                <w:kern w:val="0"/>
                <w:sz w:val="21"/>
                <w:szCs w:val="21"/>
              </w:rPr>
              <w:t>固废</w:t>
            </w:r>
          </w:p>
        </w:tc>
        <w:tc>
          <w:tcPr>
            <w:tcW w:w="1719" w:type="dxa"/>
            <w:gridSpan w:val="2"/>
            <w:vAlign w:val="center"/>
          </w:tcPr>
          <w:p>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类别</w:t>
            </w:r>
          </w:p>
        </w:tc>
        <w:tc>
          <w:tcPr>
            <w:tcW w:w="911" w:type="dxa"/>
            <w:gridSpan w:val="2"/>
            <w:vAlign w:val="center"/>
          </w:tcPr>
          <w:p>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产生量t/a</w:t>
            </w:r>
          </w:p>
        </w:tc>
        <w:tc>
          <w:tcPr>
            <w:tcW w:w="965" w:type="dxa"/>
            <w:gridSpan w:val="2"/>
            <w:vAlign w:val="center"/>
          </w:tcPr>
          <w:p>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利用量t/a</w:t>
            </w:r>
          </w:p>
        </w:tc>
        <w:tc>
          <w:tcPr>
            <w:tcW w:w="965" w:type="dxa"/>
            <w:vAlign w:val="center"/>
          </w:tcPr>
          <w:p>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处理量t/a</w:t>
            </w:r>
          </w:p>
        </w:tc>
        <w:tc>
          <w:tcPr>
            <w:tcW w:w="924" w:type="dxa"/>
            <w:vAlign w:val="center"/>
          </w:tcPr>
          <w:p>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排放量t/a</w:t>
            </w:r>
          </w:p>
        </w:tc>
        <w:tc>
          <w:tcPr>
            <w:tcW w:w="3542" w:type="dxa"/>
            <w:vAlign w:val="center"/>
          </w:tcPr>
          <w:p>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206" w:hRule="atLeast"/>
          <w:jc w:val="center"/>
        </w:trPr>
        <w:tc>
          <w:tcPr>
            <w:tcW w:w="1101" w:type="dxa"/>
            <w:vMerge w:val="continue"/>
            <w:vAlign w:val="center"/>
          </w:tcPr>
          <w:p>
            <w:pPr>
              <w:adjustRightInd w:val="0"/>
              <w:snapToGrid w:val="0"/>
              <w:jc w:val="center"/>
              <w:rPr>
                <w:rFonts w:hint="default" w:ascii="Times New Roman" w:hAnsi="Times New Roman" w:eastAsia="仿宋" w:cs="Times New Roman"/>
                <w:snapToGrid w:val="0"/>
                <w:color w:val="auto"/>
                <w:kern w:val="0"/>
                <w:sz w:val="21"/>
                <w:szCs w:val="21"/>
              </w:rPr>
            </w:pPr>
          </w:p>
        </w:tc>
        <w:tc>
          <w:tcPr>
            <w:tcW w:w="1719" w:type="dxa"/>
            <w:gridSpan w:val="2"/>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废水处理污泥</w:t>
            </w:r>
          </w:p>
        </w:tc>
        <w:tc>
          <w:tcPr>
            <w:tcW w:w="911" w:type="dxa"/>
            <w:gridSpan w:val="2"/>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w:t>
            </w:r>
          </w:p>
        </w:tc>
        <w:tc>
          <w:tcPr>
            <w:tcW w:w="965" w:type="dxa"/>
            <w:gridSpan w:val="2"/>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965"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w:t>
            </w:r>
          </w:p>
        </w:tc>
        <w:tc>
          <w:tcPr>
            <w:tcW w:w="92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3542" w:type="dxa"/>
            <w:vMerge w:val="restart"/>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206" w:hRule="atLeast"/>
          <w:jc w:val="center"/>
        </w:trPr>
        <w:tc>
          <w:tcPr>
            <w:tcW w:w="1101" w:type="dxa"/>
            <w:vMerge w:val="continue"/>
            <w:vAlign w:val="center"/>
          </w:tcPr>
          <w:p>
            <w:pPr>
              <w:adjustRightInd w:val="0"/>
              <w:snapToGrid w:val="0"/>
              <w:jc w:val="center"/>
              <w:rPr>
                <w:rFonts w:hint="default" w:ascii="Times New Roman" w:hAnsi="Times New Roman" w:eastAsia="仿宋" w:cs="Times New Roman"/>
                <w:snapToGrid w:val="0"/>
                <w:color w:val="auto"/>
                <w:kern w:val="0"/>
                <w:sz w:val="21"/>
                <w:szCs w:val="21"/>
              </w:rPr>
            </w:pPr>
          </w:p>
        </w:tc>
        <w:tc>
          <w:tcPr>
            <w:tcW w:w="1719" w:type="dxa"/>
            <w:gridSpan w:val="2"/>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废活性炭</w:t>
            </w:r>
          </w:p>
        </w:tc>
        <w:tc>
          <w:tcPr>
            <w:tcW w:w="911" w:type="dxa"/>
            <w:gridSpan w:val="2"/>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16.4</w:t>
            </w:r>
          </w:p>
        </w:tc>
        <w:tc>
          <w:tcPr>
            <w:tcW w:w="965" w:type="dxa"/>
            <w:gridSpan w:val="2"/>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965"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16.4</w:t>
            </w:r>
          </w:p>
        </w:tc>
        <w:tc>
          <w:tcPr>
            <w:tcW w:w="92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35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206" w:hRule="atLeast"/>
          <w:jc w:val="center"/>
        </w:trPr>
        <w:tc>
          <w:tcPr>
            <w:tcW w:w="1101" w:type="dxa"/>
            <w:vMerge w:val="continue"/>
            <w:vAlign w:val="center"/>
          </w:tcPr>
          <w:p>
            <w:pPr>
              <w:adjustRightInd w:val="0"/>
              <w:snapToGrid w:val="0"/>
              <w:jc w:val="center"/>
              <w:rPr>
                <w:rFonts w:hint="default" w:ascii="Times New Roman" w:hAnsi="Times New Roman" w:eastAsia="仿宋" w:cs="Times New Roman"/>
                <w:snapToGrid w:val="0"/>
                <w:color w:val="auto"/>
                <w:kern w:val="0"/>
                <w:sz w:val="21"/>
                <w:szCs w:val="21"/>
              </w:rPr>
            </w:pPr>
          </w:p>
        </w:tc>
        <w:tc>
          <w:tcPr>
            <w:tcW w:w="1719" w:type="dxa"/>
            <w:gridSpan w:val="2"/>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废包装材料</w:t>
            </w:r>
          </w:p>
        </w:tc>
        <w:tc>
          <w:tcPr>
            <w:tcW w:w="911" w:type="dxa"/>
            <w:gridSpan w:val="2"/>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0.2</w:t>
            </w:r>
          </w:p>
        </w:tc>
        <w:tc>
          <w:tcPr>
            <w:tcW w:w="965" w:type="dxa"/>
            <w:gridSpan w:val="2"/>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965"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0.2</w:t>
            </w:r>
          </w:p>
        </w:tc>
        <w:tc>
          <w:tcPr>
            <w:tcW w:w="924"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3542"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183" w:hRule="atLeast"/>
          <w:jc w:val="center"/>
        </w:trPr>
        <w:tc>
          <w:tcPr>
            <w:tcW w:w="1101" w:type="dxa"/>
            <w:vMerge w:val="continue"/>
            <w:vAlign w:val="center"/>
          </w:tcPr>
          <w:p>
            <w:pPr>
              <w:adjustRightInd w:val="0"/>
              <w:snapToGrid w:val="0"/>
              <w:jc w:val="center"/>
              <w:rPr>
                <w:rFonts w:hint="default" w:ascii="Times New Roman" w:hAnsi="Times New Roman" w:eastAsia="仿宋" w:cs="Times New Roman"/>
                <w:snapToGrid w:val="0"/>
                <w:color w:val="auto"/>
                <w:kern w:val="0"/>
                <w:sz w:val="21"/>
                <w:szCs w:val="21"/>
              </w:rPr>
            </w:pPr>
          </w:p>
        </w:tc>
        <w:tc>
          <w:tcPr>
            <w:tcW w:w="1719" w:type="dxa"/>
            <w:gridSpan w:val="2"/>
            <w:vAlign w:val="center"/>
          </w:tcPr>
          <w:p>
            <w:pPr>
              <w:adjustRightInd w:val="0"/>
              <w:snapToGrid w:val="0"/>
              <w:jc w:val="center"/>
              <w:rPr>
                <w:rFonts w:hint="default" w:ascii="Times New Roman" w:hAnsi="Times New Roman" w:eastAsia="仿宋" w:cs="Times New Roman"/>
                <w:snapToGrid w:val="0"/>
                <w:color w:val="auto"/>
                <w:kern w:val="0"/>
                <w:sz w:val="21"/>
                <w:szCs w:val="21"/>
              </w:rPr>
            </w:pPr>
            <w:r>
              <w:rPr>
                <w:rFonts w:hint="default" w:ascii="Times New Roman" w:hAnsi="Times New Roman" w:eastAsia="仿宋" w:cs="Times New Roman"/>
                <w:snapToGrid w:val="0"/>
                <w:color w:val="auto"/>
                <w:kern w:val="0"/>
                <w:sz w:val="21"/>
                <w:szCs w:val="21"/>
              </w:rPr>
              <w:t>实验室废液</w:t>
            </w:r>
          </w:p>
        </w:tc>
        <w:tc>
          <w:tcPr>
            <w:tcW w:w="911" w:type="dxa"/>
            <w:gridSpan w:val="2"/>
            <w:vAlign w:val="center"/>
          </w:tcPr>
          <w:p>
            <w:pPr>
              <w:adjustRightInd w:val="0"/>
              <w:snapToGrid w:val="0"/>
              <w:jc w:val="center"/>
              <w:rPr>
                <w:rFonts w:hint="default" w:ascii="Times New Roman" w:hAnsi="Times New Roman" w:eastAsia="仿宋" w:cs="Times New Roman"/>
                <w:snapToGrid w:val="0"/>
                <w:color w:val="auto"/>
                <w:kern w:val="0"/>
                <w:sz w:val="21"/>
                <w:szCs w:val="21"/>
              </w:rPr>
            </w:pPr>
            <w:r>
              <w:rPr>
                <w:rFonts w:hint="default" w:ascii="Times New Roman" w:hAnsi="Times New Roman" w:eastAsia="仿宋" w:cs="Times New Roman"/>
                <w:snapToGrid w:val="0"/>
                <w:color w:val="auto"/>
                <w:kern w:val="0"/>
                <w:sz w:val="21"/>
                <w:szCs w:val="21"/>
              </w:rPr>
              <w:t>0.8</w:t>
            </w:r>
          </w:p>
        </w:tc>
        <w:tc>
          <w:tcPr>
            <w:tcW w:w="965" w:type="dxa"/>
            <w:gridSpan w:val="2"/>
            <w:vAlign w:val="center"/>
          </w:tcPr>
          <w:p>
            <w:pPr>
              <w:adjustRightInd w:val="0"/>
              <w:snapToGrid w:val="0"/>
              <w:jc w:val="center"/>
              <w:rPr>
                <w:rFonts w:hint="default" w:ascii="Times New Roman" w:hAnsi="Times New Roman" w:eastAsia="仿宋" w:cs="Times New Roman"/>
                <w:snapToGrid w:val="0"/>
                <w:color w:val="auto"/>
                <w:kern w:val="0"/>
                <w:sz w:val="21"/>
                <w:szCs w:val="21"/>
              </w:rPr>
            </w:pPr>
            <w:r>
              <w:rPr>
                <w:rFonts w:hint="default" w:ascii="Times New Roman" w:hAnsi="Times New Roman" w:eastAsia="仿宋" w:cs="Times New Roman"/>
                <w:snapToGrid w:val="0"/>
                <w:color w:val="auto"/>
                <w:kern w:val="0"/>
                <w:sz w:val="21"/>
                <w:szCs w:val="21"/>
              </w:rPr>
              <w:t>0</w:t>
            </w:r>
          </w:p>
        </w:tc>
        <w:tc>
          <w:tcPr>
            <w:tcW w:w="965" w:type="dxa"/>
            <w:vAlign w:val="center"/>
          </w:tcPr>
          <w:p>
            <w:pPr>
              <w:adjustRightInd w:val="0"/>
              <w:snapToGrid w:val="0"/>
              <w:jc w:val="center"/>
              <w:rPr>
                <w:rFonts w:hint="default" w:ascii="Times New Roman" w:hAnsi="Times New Roman" w:eastAsia="仿宋" w:cs="Times New Roman"/>
                <w:snapToGrid w:val="0"/>
                <w:color w:val="auto"/>
                <w:kern w:val="0"/>
                <w:sz w:val="21"/>
                <w:szCs w:val="21"/>
              </w:rPr>
            </w:pPr>
            <w:r>
              <w:rPr>
                <w:rFonts w:hint="default" w:ascii="Times New Roman" w:hAnsi="Times New Roman" w:eastAsia="仿宋" w:cs="Times New Roman"/>
                <w:snapToGrid w:val="0"/>
                <w:color w:val="auto"/>
                <w:kern w:val="0"/>
                <w:sz w:val="21"/>
                <w:szCs w:val="21"/>
              </w:rPr>
              <w:t>0.8</w:t>
            </w:r>
          </w:p>
        </w:tc>
        <w:tc>
          <w:tcPr>
            <w:tcW w:w="924" w:type="dxa"/>
            <w:vAlign w:val="center"/>
          </w:tcPr>
          <w:p>
            <w:pPr>
              <w:adjustRightInd w:val="0"/>
              <w:snapToGrid w:val="0"/>
              <w:jc w:val="center"/>
              <w:rPr>
                <w:rFonts w:hint="default" w:ascii="Times New Roman" w:hAnsi="Times New Roman" w:eastAsia="仿宋" w:cs="Times New Roman"/>
                <w:snapToGrid w:val="0"/>
                <w:color w:val="auto"/>
                <w:kern w:val="0"/>
                <w:sz w:val="21"/>
                <w:szCs w:val="21"/>
              </w:rPr>
            </w:pPr>
            <w:r>
              <w:rPr>
                <w:rFonts w:hint="default" w:ascii="Times New Roman" w:hAnsi="Times New Roman" w:eastAsia="仿宋" w:cs="Times New Roman"/>
                <w:snapToGrid w:val="0"/>
                <w:color w:val="auto"/>
                <w:kern w:val="0"/>
                <w:sz w:val="21"/>
                <w:szCs w:val="21"/>
              </w:rPr>
              <w:t>0</w:t>
            </w:r>
          </w:p>
        </w:tc>
        <w:tc>
          <w:tcPr>
            <w:tcW w:w="3542" w:type="dxa"/>
            <w:vMerge w:val="continue"/>
            <w:vAlign w:val="center"/>
          </w:tcPr>
          <w:p>
            <w:pPr>
              <w:adjustRightInd w:val="0"/>
              <w:snapToGrid w:val="0"/>
              <w:jc w:val="center"/>
              <w:rPr>
                <w:rFonts w:hint="default" w:ascii="Times New Roman" w:hAnsi="Times New Roman" w:eastAsia="仿宋" w:cs="Times New Roman"/>
                <w:snapToGrid w:val="0"/>
                <w:color w:val="auto"/>
                <w:kern w:val="0"/>
                <w:sz w:val="21"/>
                <w:szCs w:val="21"/>
              </w:rPr>
            </w:pPr>
          </w:p>
        </w:tc>
      </w:tr>
    </w:tbl>
    <w:p>
      <w:pPr>
        <w:pStyle w:val="5"/>
        <w:keepNext/>
        <w:keepLines/>
        <w:widowControl w:val="0"/>
        <w:adjustRightInd w:val="0"/>
        <w:snapToGrid w:val="0"/>
        <w:spacing w:beforeLines="50" w:afterLines="50" w:line="240" w:lineRule="auto"/>
        <w:ind w:left="0"/>
        <w:jc w:val="both"/>
        <w:rPr>
          <w:rFonts w:hint="eastAsia" w:ascii="Times New Roman" w:hAnsi="Times New Roman" w:eastAsia="仿宋" w:cs="Times New Roman"/>
          <w:b/>
          <w:color w:val="auto"/>
          <w:sz w:val="30"/>
          <w:szCs w:val="30"/>
        </w:rPr>
      </w:pPr>
      <w:bookmarkStart w:id="209" w:name="_Toc20419"/>
      <w:r>
        <w:rPr>
          <w:rFonts w:hint="eastAsia" w:ascii="Times New Roman" w:hAnsi="Times New Roman" w:eastAsia="仿宋" w:cs="Times New Roman"/>
          <w:b/>
          <w:color w:val="auto"/>
          <w:sz w:val="30"/>
          <w:szCs w:val="30"/>
        </w:rPr>
        <w:t>2.3周边环境状况及风险评价目标</w:t>
      </w:r>
      <w:bookmarkEnd w:id="207"/>
      <w:bookmarkEnd w:id="208"/>
      <w:bookmarkEnd w:id="209"/>
    </w:p>
    <w:p>
      <w:pPr>
        <w:pStyle w:val="10"/>
        <w:widowControl w:val="0"/>
        <w:wordWrap/>
        <w:spacing w:before="0" w:beforeAutospacing="0" w:line="360" w:lineRule="auto"/>
        <w:ind w:left="0" w:right="0"/>
        <w:jc w:val="left"/>
        <w:textAlignment w:val="auto"/>
        <w:outlineLvl w:val="2"/>
        <w:rPr>
          <w:rFonts w:hint="default" w:ascii="Times New Roman" w:hAnsi="Times New Roman" w:cs="Times New Roman"/>
          <w:b/>
          <w:bCs/>
          <w:color w:val="auto"/>
        </w:rPr>
      </w:pPr>
      <w:bookmarkStart w:id="210" w:name="2.3.1周边环境状况"/>
      <w:bookmarkEnd w:id="210"/>
      <w:bookmarkStart w:id="211" w:name="_Toc8316"/>
      <w:r>
        <w:rPr>
          <w:rFonts w:hint="default" w:ascii="Times New Roman" w:hAnsi="Times New Roman" w:cs="Times New Roman"/>
          <w:b/>
          <w:bCs/>
          <w:color w:val="auto"/>
          <w:spacing w:val="1"/>
          <w:w w:val="100"/>
        </w:rPr>
        <w:t>2.3.</w:t>
      </w:r>
      <w:r>
        <w:rPr>
          <w:rFonts w:hint="default" w:ascii="Times New Roman" w:hAnsi="Times New Roman" w:cs="Times New Roman"/>
          <w:b/>
          <w:bCs/>
          <w:color w:val="auto"/>
          <w:spacing w:val="0"/>
          <w:w w:val="100"/>
        </w:rPr>
        <w:t>1</w:t>
      </w:r>
      <w:r>
        <w:rPr>
          <w:rFonts w:hint="default" w:ascii="Times New Roman" w:hAnsi="Times New Roman" w:cs="Times New Roman"/>
          <w:b/>
          <w:bCs/>
          <w:color w:val="auto"/>
          <w:spacing w:val="-72"/>
          <w:w w:val="100"/>
        </w:rPr>
        <w:t xml:space="preserve"> </w:t>
      </w:r>
      <w:r>
        <w:rPr>
          <w:rFonts w:hint="default" w:ascii="Times New Roman" w:hAnsi="Times New Roman" w:cs="Times New Roman"/>
          <w:b/>
          <w:bCs/>
          <w:color w:val="auto"/>
          <w:spacing w:val="-1"/>
          <w:w w:val="100"/>
        </w:rPr>
        <w:t>周边环境</w:t>
      </w:r>
      <w:r>
        <w:rPr>
          <w:rFonts w:hint="default" w:ascii="Times New Roman" w:hAnsi="Times New Roman" w:cs="Times New Roman"/>
          <w:b/>
          <w:bCs/>
          <w:color w:val="auto"/>
          <w:spacing w:val="2"/>
          <w:w w:val="100"/>
        </w:rPr>
        <w:t>状</w:t>
      </w:r>
      <w:r>
        <w:rPr>
          <w:rFonts w:hint="default" w:ascii="Times New Roman" w:hAnsi="Times New Roman" w:cs="Times New Roman"/>
          <w:b/>
          <w:bCs/>
          <w:color w:val="auto"/>
          <w:spacing w:val="0"/>
          <w:w w:val="100"/>
        </w:rPr>
        <w:t>况</w:t>
      </w:r>
      <w:bookmarkEnd w:id="211"/>
    </w:p>
    <w:p>
      <w:pPr>
        <w:snapToGrid w:val="0"/>
        <w:spacing w:line="240" w:lineRule="auto"/>
        <w:ind w:firstLine="560" w:firstLineChars="200"/>
        <w:rPr>
          <w:rFonts w:hint="default"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lang w:eastAsia="zh-CN"/>
        </w:rPr>
        <w:t>江</w:t>
      </w:r>
      <w:r>
        <w:rPr>
          <w:rFonts w:hint="default" w:ascii="Times New Roman" w:hAnsi="Times New Roman" w:eastAsia="仿宋" w:cs="Times New Roman"/>
          <w:color w:val="auto"/>
          <w:sz w:val="28"/>
          <w:szCs w:val="28"/>
        </w:rPr>
        <w:t>苏超力建材科技有限公司坐落在徐州工业园区超越大道南侧，中经四路西侧，厂区西侧是徐州方维环保科技有限公司、南侧是江苏长达交通材料有限公司。周边300m范围内环境状况见附图2。</w:t>
      </w:r>
    </w:p>
    <w:p>
      <w:pPr>
        <w:pStyle w:val="10"/>
        <w:widowControl w:val="0"/>
        <w:wordWrap/>
        <w:spacing w:before="0" w:beforeAutospacing="0" w:line="360" w:lineRule="auto"/>
        <w:ind w:left="0" w:right="0"/>
        <w:jc w:val="left"/>
        <w:textAlignment w:val="auto"/>
        <w:outlineLvl w:val="2"/>
        <w:rPr>
          <w:rFonts w:hint="default" w:ascii="Times New Roman" w:hAnsi="Times New Roman" w:cs="Times New Roman"/>
          <w:b/>
          <w:bCs/>
          <w:color w:val="auto"/>
          <w:spacing w:val="-1"/>
          <w:w w:val="100"/>
        </w:rPr>
      </w:pPr>
      <w:bookmarkStart w:id="212" w:name="2.3.2环境保护目标（风险评估报告3.4.2）"/>
      <w:bookmarkEnd w:id="212"/>
      <w:bookmarkStart w:id="213" w:name="_Toc2968"/>
      <w:r>
        <w:rPr>
          <w:rFonts w:hint="default" w:ascii="Times New Roman" w:hAnsi="Times New Roman" w:cs="Times New Roman"/>
          <w:b/>
          <w:bCs/>
          <w:color w:val="auto"/>
          <w:spacing w:val="-1"/>
          <w:w w:val="100"/>
        </w:rPr>
        <w:t>2.3.2 环境保护目标</w:t>
      </w:r>
      <w:bookmarkEnd w:id="213"/>
    </w:p>
    <w:p>
      <w:pPr>
        <w:widowControl w:val="0"/>
        <w:wordWrap/>
        <w:spacing w:beforeAutospacing="0" w:line="360" w:lineRule="auto"/>
        <w:ind w:left="0" w:firstLine="442" w:firstLineChars="0"/>
        <w:jc w:val="left"/>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风险评估报告3.</w:t>
      </w:r>
      <w:r>
        <w:rPr>
          <w:rFonts w:hint="eastAsia" w:ascii="Times New Roman" w:hAnsi="Times New Roman" w:eastAsia="仿宋" w:cs="Times New Roman"/>
          <w:color w:val="auto"/>
          <w:sz w:val="28"/>
          <w:szCs w:val="28"/>
          <w:lang w:val="en-US" w:eastAsia="zh-CN"/>
        </w:rPr>
        <w:t>2。</w:t>
      </w:r>
    </w:p>
    <w:p>
      <w:pPr>
        <w:pStyle w:val="4"/>
        <w:keepNext/>
        <w:keepLines/>
        <w:widowControl w:val="0"/>
        <w:wordWrap/>
        <w:adjustRightInd w:val="0"/>
        <w:snapToGrid w:val="0"/>
        <w:spacing w:before="0" w:beforeAutospacing="0" w:line="360" w:lineRule="auto"/>
        <w:ind w:left="0" w:right="0" w:firstLine="0"/>
        <w:jc w:val="both"/>
        <w:textAlignment w:val="auto"/>
        <w:outlineLvl w:val="0"/>
        <w:rPr>
          <w:rFonts w:hint="eastAsia" w:ascii="Times New Roman" w:hAnsi="Times New Roman" w:eastAsia="仿宋" w:cs="Times New Roman"/>
          <w:b/>
          <w:color w:val="auto"/>
          <w:sz w:val="32"/>
          <w:szCs w:val="32"/>
        </w:rPr>
      </w:pPr>
      <w:bookmarkStart w:id="214" w:name="3 环境风险源与环境风险评价"/>
      <w:bookmarkEnd w:id="214"/>
      <w:bookmarkStart w:id="215" w:name="_Toc26458"/>
      <w:r>
        <w:rPr>
          <w:rFonts w:hint="eastAsia" w:ascii="Times New Roman" w:hAnsi="Times New Roman" w:eastAsia="仿宋" w:cs="Times New Roman"/>
          <w:b/>
          <w:color w:val="auto"/>
          <w:sz w:val="32"/>
          <w:szCs w:val="32"/>
        </w:rPr>
        <w:t>3 环境风险源与环境风险评价</w:t>
      </w:r>
      <w:bookmarkEnd w:id="215"/>
    </w:p>
    <w:p>
      <w:pPr>
        <w:pStyle w:val="5"/>
        <w:keepNext/>
        <w:keepLines/>
        <w:widowControl w:val="0"/>
        <w:wordWrap/>
        <w:adjustRightInd w:val="0"/>
        <w:snapToGrid w:val="0"/>
        <w:spacing w:before="0" w:beforeAutospacing="0" w:line="360" w:lineRule="auto"/>
        <w:ind w:left="0" w:right="0" w:firstLine="0"/>
        <w:jc w:val="both"/>
        <w:textAlignment w:val="auto"/>
        <w:rPr>
          <w:rFonts w:hint="eastAsia" w:ascii="Times New Roman" w:hAnsi="Times New Roman" w:eastAsia="仿宋" w:cs="Times New Roman"/>
          <w:b/>
          <w:color w:val="auto"/>
          <w:sz w:val="30"/>
          <w:szCs w:val="30"/>
        </w:rPr>
      </w:pPr>
      <w:bookmarkStart w:id="216" w:name="3.1环境风险识别"/>
      <w:bookmarkEnd w:id="216"/>
      <w:bookmarkStart w:id="217" w:name="_Toc7682"/>
      <w:r>
        <w:rPr>
          <w:rFonts w:hint="eastAsia" w:ascii="Times New Roman" w:hAnsi="Times New Roman" w:eastAsia="仿宋" w:cs="Times New Roman"/>
          <w:b/>
          <w:color w:val="auto"/>
          <w:sz w:val="30"/>
          <w:szCs w:val="30"/>
        </w:rPr>
        <w:t xml:space="preserve">3.1 </w:t>
      </w:r>
      <w:r>
        <w:rPr>
          <w:rFonts w:hint="eastAsia" w:ascii="Times New Roman" w:hAnsi="Times New Roman" w:cs="Times New Roman"/>
          <w:b/>
          <w:color w:val="auto"/>
          <w:sz w:val="30"/>
          <w:szCs w:val="30"/>
          <w:lang w:eastAsia="zh-CN"/>
        </w:rPr>
        <w:t>危险物质</w:t>
      </w:r>
      <w:r>
        <w:rPr>
          <w:rFonts w:hint="eastAsia" w:ascii="Times New Roman" w:hAnsi="Times New Roman" w:eastAsia="仿宋" w:cs="Times New Roman"/>
          <w:b/>
          <w:color w:val="auto"/>
          <w:sz w:val="30"/>
          <w:szCs w:val="30"/>
        </w:rPr>
        <w:t>风险识别</w:t>
      </w:r>
      <w:bookmarkEnd w:id="217"/>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根据《江苏省突发环境事件应急预案编制导则》（企业版）中有关危险物质的释义，公司原辅材料中聚醚、液碱、丙烯酸、双氧水、巯基丙酸属危险物质。</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聚醚、</w:t>
      </w:r>
      <w:r>
        <w:rPr>
          <w:rFonts w:hint="eastAsia" w:ascii="Times New Roman" w:hAnsi="Times New Roman" w:eastAsia="仿宋" w:cs="Times New Roman"/>
          <w:color w:val="auto"/>
          <w:sz w:val="28"/>
          <w:szCs w:val="28"/>
          <w:lang w:eastAsia="zh-CN"/>
        </w:rPr>
        <w:t>液碱</w:t>
      </w:r>
      <w:r>
        <w:rPr>
          <w:rFonts w:hint="default" w:ascii="Times New Roman" w:hAnsi="Times New Roman" w:eastAsia="仿宋" w:cs="Times New Roman"/>
          <w:color w:val="auto"/>
          <w:sz w:val="28"/>
          <w:szCs w:val="28"/>
        </w:rPr>
        <w:t>、丙烯酸、双氧水、巯基丙酸理化性质见“风险评估报告”中表3.3-3。。</w:t>
      </w:r>
    </w:p>
    <w:p>
      <w:pPr>
        <w:pStyle w:val="10"/>
        <w:widowControl w:val="0"/>
        <w:wordWrap/>
        <w:spacing w:before="0" w:beforeAutospacing="0" w:line="360" w:lineRule="auto"/>
        <w:ind w:left="0" w:right="0"/>
        <w:jc w:val="left"/>
        <w:textAlignment w:val="auto"/>
        <w:outlineLvl w:val="2"/>
        <w:rPr>
          <w:rFonts w:hint="default" w:ascii="Times New Roman" w:hAnsi="Times New Roman" w:cs="Times New Roman"/>
          <w:b/>
          <w:bCs/>
          <w:color w:val="auto"/>
          <w:spacing w:val="-1"/>
          <w:w w:val="100"/>
        </w:rPr>
      </w:pPr>
      <w:bookmarkStart w:id="218" w:name="3.1.1物质风险识别"/>
      <w:bookmarkEnd w:id="218"/>
      <w:bookmarkStart w:id="219" w:name="_Toc30901"/>
      <w:r>
        <w:rPr>
          <w:rFonts w:hint="default" w:ascii="Times New Roman" w:hAnsi="Times New Roman" w:cs="Times New Roman"/>
          <w:b/>
          <w:bCs/>
          <w:color w:val="auto"/>
          <w:spacing w:val="-1"/>
          <w:w w:val="100"/>
        </w:rPr>
        <w:t>3.1.1风险</w:t>
      </w:r>
      <w:r>
        <w:rPr>
          <w:rFonts w:hint="eastAsia" w:ascii="Times New Roman" w:hAnsi="Times New Roman" w:cs="Times New Roman"/>
          <w:b/>
          <w:bCs/>
          <w:color w:val="auto"/>
          <w:spacing w:val="-1"/>
          <w:w w:val="100"/>
          <w:lang w:eastAsia="zh-CN"/>
        </w:rPr>
        <w:t>源</w:t>
      </w:r>
      <w:r>
        <w:rPr>
          <w:rFonts w:hint="default" w:ascii="Times New Roman" w:hAnsi="Times New Roman" w:cs="Times New Roman"/>
          <w:b/>
          <w:bCs/>
          <w:color w:val="auto"/>
          <w:spacing w:val="-1"/>
          <w:w w:val="100"/>
        </w:rPr>
        <w:t>识别</w:t>
      </w:r>
      <w:bookmarkEnd w:id="219"/>
    </w:p>
    <w:p>
      <w:pPr>
        <w:snapToGrid w:val="0"/>
        <w:spacing w:line="240" w:lineRule="auto"/>
        <w:ind w:firstLine="560" w:firstLineChars="200"/>
        <w:rPr>
          <w:rFonts w:hint="eastAsia"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下列生产装置在管理、操作不当或发生意外事故，存在造成火灾、爆炸或中毒等突发性环境事件的可能。污水处理系统发生故障也会发生地表水污染的突发性环境事件。</w:t>
      </w:r>
    </w:p>
    <w:p>
      <w:pPr>
        <w:numPr>
          <w:ilvl w:val="0"/>
          <w:numId w:val="2"/>
        </w:numPr>
        <w:snapToGrid w:val="0"/>
        <w:spacing w:line="240" w:lineRule="auto"/>
        <w:ind w:firstLine="560" w:firstLineChars="200"/>
        <w:rPr>
          <w:rFonts w:hint="eastAsia"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生产过程中因使用易燃物质丙烯酸及助燃物质双氧水，生产场所具有火灾、爆炸的危险性。</w:t>
      </w:r>
    </w:p>
    <w:p>
      <w:pPr>
        <w:numPr>
          <w:ilvl w:val="0"/>
          <w:numId w:val="2"/>
        </w:numPr>
        <w:snapToGrid w:val="0"/>
        <w:spacing w:line="240" w:lineRule="auto"/>
        <w:ind w:firstLine="560" w:firstLineChars="200"/>
        <w:rPr>
          <w:rFonts w:hint="eastAsia"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生产过程中因使用液体氢氧化钠、巯基丙酸，若发生氢氧化钠、巯基丙酸，且流入环境则会造成大气、地表水及土壤的污染，存在环境风险。</w:t>
      </w:r>
    </w:p>
    <w:p>
      <w:pPr>
        <w:snapToGrid w:val="0"/>
        <w:spacing w:line="240" w:lineRule="auto"/>
        <w:ind w:firstLine="560" w:firstLineChars="200"/>
        <w:rPr>
          <w:rFonts w:hint="eastAsia"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2、化学品仓库，主要存放生产用化学品，包括氢氧化钠、双氧水、巯基丙酸等风险物质。化学品采用桶装且分类存放。桶装化学品因操作失误或管理不到位等原因会造成物料泄漏的风险，特别是双氧水泄漏，遇可燃物质和火源或高温时可引起燃烧，在一定条件下可发生火灾事故等甚至爆炸等突发性环境事件。</w:t>
      </w:r>
    </w:p>
    <w:p>
      <w:pPr>
        <w:snapToGrid w:val="0"/>
        <w:spacing w:line="240" w:lineRule="auto"/>
        <w:ind w:firstLine="560" w:firstLineChars="200"/>
        <w:rPr>
          <w:rFonts w:hint="eastAsia"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3、危险化学品在运输过程中，如静电接地不良或没有静电接地，当物料泄漏时遇静电火花有发生火灾、爆炸的风险。</w:t>
      </w:r>
    </w:p>
    <w:p>
      <w:pPr>
        <w:snapToGrid w:val="0"/>
        <w:spacing w:line="240" w:lineRule="auto"/>
        <w:ind w:firstLine="560" w:firstLineChars="200"/>
        <w:rPr>
          <w:rFonts w:hint="eastAsia"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4、废气环保设施发生泄漏，大量的未吸收处理的有机物将排入环境，对环境空气造成较严重污染。</w:t>
      </w:r>
    </w:p>
    <w:p>
      <w:pPr>
        <w:snapToGrid w:val="0"/>
        <w:spacing w:line="240" w:lineRule="auto"/>
        <w:ind w:firstLine="560" w:firstLineChars="200"/>
        <w:rPr>
          <w:rFonts w:hint="eastAsia"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5、生产、生活废水经厂内污水处理系统处理后达标排入徐州工业园区污水处理厂进一步处理。但如污水处理系统发生故障，将导致不达标废水排放，对徐州工业园区污水处理厂污水处理系统带来冲击负荷，可能使之不能稳定运行，出现超标排放的现象，最终造成地表水受到污染。</w:t>
      </w:r>
    </w:p>
    <w:p>
      <w:pPr>
        <w:snapToGrid w:val="0"/>
        <w:spacing w:line="240" w:lineRule="auto"/>
        <w:ind w:firstLine="560" w:firstLineChars="200"/>
        <w:rPr>
          <w:rFonts w:hint="eastAsia"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6、生产过程中产生的危险废物，主要包括废活性炭、废包装材料、沉淀池污泥、实验室废液，尤其是实验室废液、沉淀池污泥等，具有流动性，在储存、装卸、转移过程中因操作不当或管理问题存在泄漏的风险，如若进入雨水管网，随雨水进入地表水，将对地表水造成污染，泄漏位置如若未采取防渗，危险物质将渗入土壤，进而渗入地下水，对土壤及地下水造成污染。</w:t>
      </w:r>
    </w:p>
    <w:p>
      <w:pPr>
        <w:snapToGrid w:val="0"/>
        <w:spacing w:line="240" w:lineRule="auto"/>
        <w:ind w:firstLine="560" w:firstLineChars="200"/>
        <w:rPr>
          <w:rFonts w:hint="eastAsia"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rPr>
        <w:t>综上所述，企业风险源分布及风险类型汇总见表3.</w:t>
      </w:r>
      <w:r>
        <w:rPr>
          <w:rFonts w:hint="eastAsia" w:ascii="Times New Roman" w:hAnsi="Times New Roman" w:eastAsia="仿宋" w:cs="Times New Roman"/>
          <w:color w:val="auto"/>
          <w:sz w:val="28"/>
          <w:szCs w:val="28"/>
          <w:lang w:val="en-US" w:eastAsia="zh-CN"/>
        </w:rPr>
        <w:t>1</w:t>
      </w:r>
      <w:r>
        <w:rPr>
          <w:rFonts w:hint="eastAsia" w:ascii="Times New Roman" w:hAnsi="Times New Roman" w:eastAsia="仿宋" w:cs="Times New Roman"/>
          <w:color w:val="auto"/>
          <w:sz w:val="28"/>
          <w:szCs w:val="28"/>
        </w:rPr>
        <w:t>-1。</w:t>
      </w:r>
    </w:p>
    <w:p>
      <w:pPr>
        <w:spacing w:line="500" w:lineRule="exact"/>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表3.</w:t>
      </w:r>
      <w:r>
        <w:rPr>
          <w:rFonts w:hint="default" w:ascii="Times New Roman" w:hAnsi="Times New Roman" w:eastAsia="仿宋" w:cs="Times New Roman"/>
          <w:b/>
          <w:bCs/>
          <w:color w:val="auto"/>
          <w:sz w:val="24"/>
          <w:szCs w:val="24"/>
          <w:lang w:val="en-US" w:eastAsia="zh-CN"/>
        </w:rPr>
        <w:t>1</w:t>
      </w:r>
      <w:r>
        <w:rPr>
          <w:rFonts w:hint="default" w:ascii="Times New Roman" w:hAnsi="Times New Roman" w:eastAsia="仿宋" w:cs="Times New Roman"/>
          <w:b/>
          <w:bCs/>
          <w:color w:val="auto"/>
          <w:sz w:val="24"/>
          <w:szCs w:val="24"/>
        </w:rPr>
        <w:t>-1 企业风险源分布及风险类型汇总表</w:t>
      </w:r>
    </w:p>
    <w:tbl>
      <w:tblPr>
        <w:tblStyle w:val="21"/>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8"/>
        <w:gridCol w:w="1770"/>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358" w:type="dxa"/>
            <w:vAlign w:val="center"/>
          </w:tcPr>
          <w:p>
            <w:pPr>
              <w:adjustRightInd w:val="0"/>
              <w:snapToGrid w:val="0"/>
              <w:jc w:val="center"/>
              <w:rPr>
                <w:rFonts w:hint="eastAsia" w:ascii="仿宋" w:hAnsi="仿宋" w:eastAsia="仿宋"/>
                <w:b/>
                <w:color w:val="auto"/>
                <w:sz w:val="21"/>
                <w:szCs w:val="21"/>
              </w:rPr>
            </w:pPr>
            <w:r>
              <w:rPr>
                <w:rFonts w:hint="eastAsia" w:ascii="仿宋" w:hAnsi="仿宋" w:eastAsia="仿宋"/>
                <w:b/>
                <w:color w:val="auto"/>
                <w:sz w:val="21"/>
                <w:szCs w:val="21"/>
              </w:rPr>
              <w:t>风险源</w:t>
            </w:r>
          </w:p>
        </w:tc>
        <w:tc>
          <w:tcPr>
            <w:tcW w:w="1770" w:type="dxa"/>
            <w:vAlign w:val="center"/>
          </w:tcPr>
          <w:p>
            <w:pPr>
              <w:adjustRightInd w:val="0"/>
              <w:snapToGrid w:val="0"/>
              <w:jc w:val="center"/>
              <w:rPr>
                <w:rFonts w:hint="eastAsia" w:ascii="仿宋" w:hAnsi="仿宋" w:eastAsia="仿宋"/>
                <w:b/>
                <w:color w:val="auto"/>
                <w:sz w:val="21"/>
                <w:szCs w:val="21"/>
              </w:rPr>
            </w:pPr>
            <w:r>
              <w:rPr>
                <w:rFonts w:hint="eastAsia" w:ascii="仿宋" w:hAnsi="仿宋" w:eastAsia="仿宋"/>
                <w:b/>
                <w:color w:val="auto"/>
                <w:sz w:val="21"/>
                <w:szCs w:val="21"/>
              </w:rPr>
              <w:t>类型</w:t>
            </w:r>
          </w:p>
        </w:tc>
        <w:tc>
          <w:tcPr>
            <w:tcW w:w="4819" w:type="dxa"/>
            <w:vAlign w:val="center"/>
          </w:tcPr>
          <w:p>
            <w:pPr>
              <w:adjustRightInd w:val="0"/>
              <w:snapToGrid w:val="0"/>
              <w:jc w:val="center"/>
              <w:rPr>
                <w:rFonts w:hint="eastAsia" w:ascii="仿宋" w:hAnsi="仿宋" w:eastAsia="仿宋"/>
                <w:b/>
                <w:color w:val="auto"/>
                <w:sz w:val="21"/>
                <w:szCs w:val="21"/>
              </w:rPr>
            </w:pPr>
            <w:r>
              <w:rPr>
                <w:rFonts w:hint="eastAsia" w:ascii="仿宋" w:hAnsi="仿宋" w:eastAsia="仿宋"/>
                <w:b/>
                <w:color w:val="auto"/>
                <w:sz w:val="21"/>
                <w:szCs w:val="21"/>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58" w:type="dxa"/>
            <w:vMerge w:val="restart"/>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化学品仓库、罐区</w:t>
            </w:r>
          </w:p>
        </w:tc>
        <w:tc>
          <w:tcPr>
            <w:tcW w:w="1770" w:type="dxa"/>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泄漏</w:t>
            </w:r>
          </w:p>
        </w:tc>
        <w:tc>
          <w:tcPr>
            <w:tcW w:w="4819" w:type="dxa"/>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违章操作，液体化学品包装桶破损、管道破裂等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358" w:type="dxa"/>
            <w:vMerge w:val="continue"/>
            <w:vAlign w:val="center"/>
          </w:tcPr>
          <w:p>
            <w:pPr>
              <w:adjustRightInd w:val="0"/>
              <w:snapToGrid w:val="0"/>
              <w:jc w:val="center"/>
              <w:rPr>
                <w:rFonts w:hint="eastAsia" w:ascii="仿宋" w:hAnsi="仿宋" w:eastAsia="仿宋"/>
                <w:color w:val="auto"/>
                <w:sz w:val="21"/>
                <w:szCs w:val="21"/>
              </w:rPr>
            </w:pPr>
          </w:p>
        </w:tc>
        <w:tc>
          <w:tcPr>
            <w:tcW w:w="1770" w:type="dxa"/>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火灾、爆炸</w:t>
            </w:r>
          </w:p>
        </w:tc>
        <w:tc>
          <w:tcPr>
            <w:tcW w:w="4819" w:type="dxa"/>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泄漏的化学品遇明火、静电等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2358" w:type="dxa"/>
            <w:vMerge w:val="restart"/>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生产车间</w:t>
            </w:r>
          </w:p>
        </w:tc>
        <w:tc>
          <w:tcPr>
            <w:tcW w:w="1770" w:type="dxa"/>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泄漏</w:t>
            </w:r>
          </w:p>
        </w:tc>
        <w:tc>
          <w:tcPr>
            <w:tcW w:w="4819" w:type="dxa"/>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违章操作，机械故障，管道破裂等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58" w:type="dxa"/>
            <w:vMerge w:val="continue"/>
            <w:vAlign w:val="center"/>
          </w:tcPr>
          <w:p>
            <w:pPr>
              <w:adjustRightInd w:val="0"/>
              <w:snapToGrid w:val="0"/>
              <w:jc w:val="center"/>
              <w:rPr>
                <w:rFonts w:hint="eastAsia" w:ascii="仿宋" w:hAnsi="仿宋" w:eastAsia="仿宋"/>
                <w:color w:val="auto"/>
                <w:sz w:val="21"/>
                <w:szCs w:val="21"/>
              </w:rPr>
            </w:pPr>
          </w:p>
        </w:tc>
        <w:tc>
          <w:tcPr>
            <w:tcW w:w="1770" w:type="dxa"/>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火灾、爆炸</w:t>
            </w:r>
          </w:p>
        </w:tc>
        <w:tc>
          <w:tcPr>
            <w:tcW w:w="4819" w:type="dxa"/>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泄漏的化学品遇明火、静电等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58" w:type="dxa"/>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废水处理系统</w:t>
            </w:r>
          </w:p>
        </w:tc>
        <w:tc>
          <w:tcPr>
            <w:tcW w:w="1770" w:type="dxa"/>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不达标排放</w:t>
            </w:r>
          </w:p>
        </w:tc>
        <w:tc>
          <w:tcPr>
            <w:tcW w:w="4819" w:type="dxa"/>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污水处理系统出现故障。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58" w:type="dxa"/>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废气处理系统</w:t>
            </w:r>
          </w:p>
        </w:tc>
        <w:tc>
          <w:tcPr>
            <w:tcW w:w="1770" w:type="dxa"/>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不达标排放</w:t>
            </w:r>
          </w:p>
        </w:tc>
        <w:tc>
          <w:tcPr>
            <w:tcW w:w="4819" w:type="dxa"/>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活性炭未及时更换，操作不当，漏风等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58" w:type="dxa"/>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危废暂存场所</w:t>
            </w:r>
          </w:p>
        </w:tc>
        <w:tc>
          <w:tcPr>
            <w:tcW w:w="1770" w:type="dxa"/>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泄露</w:t>
            </w:r>
          </w:p>
        </w:tc>
        <w:tc>
          <w:tcPr>
            <w:tcW w:w="4819" w:type="dxa"/>
            <w:vAlign w:val="center"/>
          </w:tcPr>
          <w:p>
            <w:pPr>
              <w:adjustRightInd w:val="0"/>
              <w:snapToGrid w:val="0"/>
              <w:jc w:val="center"/>
              <w:rPr>
                <w:rFonts w:hint="eastAsia" w:ascii="仿宋" w:hAnsi="仿宋" w:eastAsia="仿宋"/>
                <w:color w:val="auto"/>
                <w:sz w:val="21"/>
                <w:szCs w:val="21"/>
              </w:rPr>
            </w:pPr>
            <w:r>
              <w:rPr>
                <w:rFonts w:hint="eastAsia" w:ascii="仿宋" w:hAnsi="仿宋" w:eastAsia="仿宋"/>
                <w:color w:val="auto"/>
                <w:sz w:val="21"/>
                <w:szCs w:val="21"/>
              </w:rPr>
              <w:t>操作不当，管理问题，防渗措施未做好等</w:t>
            </w:r>
          </w:p>
        </w:tc>
      </w:tr>
    </w:tbl>
    <w:p>
      <w:pPr>
        <w:pStyle w:val="10"/>
        <w:widowControl w:val="0"/>
        <w:wordWrap/>
        <w:spacing w:before="0" w:beforeAutospacing="0" w:line="360" w:lineRule="auto"/>
        <w:ind w:left="0" w:right="0"/>
        <w:jc w:val="left"/>
        <w:textAlignment w:val="auto"/>
        <w:outlineLvl w:val="2"/>
        <w:rPr>
          <w:rFonts w:hint="default" w:ascii="Times New Roman" w:hAnsi="Times New Roman" w:cs="Times New Roman"/>
          <w:b/>
          <w:bCs/>
          <w:color w:val="auto"/>
          <w:spacing w:val="-1"/>
          <w:w w:val="100"/>
        </w:rPr>
      </w:pPr>
      <w:bookmarkStart w:id="220" w:name="_Toc5963"/>
      <w:r>
        <w:rPr>
          <w:rFonts w:hint="default" w:ascii="Times New Roman" w:hAnsi="Times New Roman" w:cs="Times New Roman"/>
          <w:b/>
          <w:bCs/>
          <w:color w:val="auto"/>
          <w:spacing w:val="-1"/>
          <w:w w:val="100"/>
        </w:rPr>
        <w:t>3.1.2 主要风险源及风险因子识别</w:t>
      </w:r>
      <w:bookmarkEnd w:id="220"/>
    </w:p>
    <w:p>
      <w:pPr>
        <w:pStyle w:val="10"/>
        <w:widowControl w:val="0"/>
        <w:wordWrap/>
        <w:spacing w:before="0" w:beforeAutospacing="0" w:line="360" w:lineRule="auto"/>
        <w:ind w:left="0" w:right="0" w:firstLine="559"/>
        <w:jc w:val="left"/>
        <w:textAlignment w:val="auto"/>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rPr>
        <w:t>见风险评估报告</w:t>
      </w:r>
      <w:r>
        <w:rPr>
          <w:rFonts w:hint="default" w:ascii="Times New Roman" w:hAnsi="Times New Roman" w:eastAsia="仿宋" w:cs="Times New Roman"/>
          <w:color w:val="auto"/>
          <w:sz w:val="28"/>
          <w:szCs w:val="28"/>
          <w:lang w:val="en-US" w:eastAsia="zh-CN"/>
        </w:rPr>
        <w:t>3.6、3.9</w:t>
      </w:r>
      <w:r>
        <w:rPr>
          <w:rFonts w:hint="default" w:ascii="Times New Roman" w:hAnsi="Times New Roman" w:eastAsia="仿宋" w:cs="Times New Roman"/>
          <w:color w:val="auto"/>
          <w:sz w:val="28"/>
          <w:szCs w:val="28"/>
        </w:rPr>
        <w:t>章</w:t>
      </w:r>
      <w:r>
        <w:rPr>
          <w:rFonts w:hint="default" w:ascii="Times New Roman" w:hAnsi="Times New Roman" w:eastAsia="仿宋" w:cs="Times New Roman"/>
          <w:color w:val="auto"/>
          <w:sz w:val="28"/>
          <w:szCs w:val="28"/>
          <w:lang w:eastAsia="zh-CN"/>
        </w:rPr>
        <w:t>。</w:t>
      </w:r>
    </w:p>
    <w:p>
      <w:pPr>
        <w:pStyle w:val="5"/>
        <w:keepNext/>
        <w:keepLines/>
        <w:widowControl w:val="0"/>
        <w:wordWrap/>
        <w:adjustRightInd w:val="0"/>
        <w:snapToGrid w:val="0"/>
        <w:spacing w:before="0" w:beforeAutospacing="0" w:line="360" w:lineRule="auto"/>
        <w:ind w:left="0"/>
        <w:jc w:val="both"/>
        <w:textAlignment w:val="auto"/>
        <w:rPr>
          <w:rFonts w:hint="eastAsia" w:ascii="Times New Roman" w:hAnsi="Times New Roman" w:cs="Times New Roman"/>
          <w:b/>
          <w:bCs/>
          <w:color w:val="auto"/>
          <w:sz w:val="30"/>
          <w:szCs w:val="30"/>
          <w:lang w:val="en-US" w:eastAsia="zh-CN"/>
        </w:rPr>
      </w:pPr>
      <w:bookmarkStart w:id="221" w:name="3.2环境风险等级判定"/>
      <w:bookmarkEnd w:id="221"/>
      <w:bookmarkStart w:id="222" w:name="3.1.2主要风险源及风险因子识别（见风险评估报告4.2章）"/>
      <w:bookmarkEnd w:id="222"/>
      <w:bookmarkStart w:id="223" w:name="_Toc28523"/>
      <w:r>
        <w:rPr>
          <w:rFonts w:hint="eastAsia" w:ascii="Times New Roman" w:hAnsi="Times New Roman" w:cs="Times New Roman"/>
          <w:b/>
          <w:bCs/>
          <w:color w:val="auto"/>
          <w:sz w:val="30"/>
          <w:szCs w:val="30"/>
          <w:lang w:val="en-US" w:eastAsia="zh-CN"/>
        </w:rPr>
        <w:t>3.2 环境风险等级判定</w:t>
      </w:r>
      <w:bookmarkEnd w:id="223"/>
      <w:r>
        <w:rPr>
          <w:rFonts w:hint="eastAsia" w:ascii="Times New Roman" w:hAnsi="Times New Roman" w:cs="Times New Roman"/>
          <w:b/>
          <w:bCs/>
          <w:color w:val="auto"/>
          <w:sz w:val="30"/>
          <w:szCs w:val="30"/>
          <w:lang w:val="en-US" w:eastAsia="zh-CN"/>
        </w:rPr>
        <w:t xml:space="preserve"> </w:t>
      </w:r>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根据江苏超力建材科技有限公司环境风险评估报告结论，江苏超力建材科技有限公司的风险等级风险等级为</w:t>
      </w:r>
      <w:r>
        <w:rPr>
          <w:rFonts w:hint="default" w:ascii="Times New Roman" w:hAnsi="Times New Roman" w:eastAsia="仿宋" w:cs="Times New Roman"/>
          <w:color w:val="auto"/>
          <w:sz w:val="28"/>
          <w:szCs w:val="28"/>
          <w:lang w:val="en-US" w:eastAsia="zh-CN"/>
        </w:rPr>
        <w:t>一般</w:t>
      </w:r>
      <w:r>
        <w:rPr>
          <w:rFonts w:hint="eastAsia" w:ascii="宋体" w:hAnsi="宋体" w:eastAsia="宋体" w:cs="宋体"/>
          <w:color w:val="auto"/>
          <w:sz w:val="28"/>
          <w:szCs w:val="28"/>
          <w:lang w:val="en-US" w:eastAsia="zh-CN"/>
        </w:rPr>
        <w:t>〔</w:t>
      </w:r>
      <w:r>
        <w:rPr>
          <w:rFonts w:hint="default" w:ascii="Times New Roman" w:hAnsi="Times New Roman" w:eastAsia="仿宋" w:cs="Times New Roman"/>
          <w:color w:val="auto"/>
          <w:sz w:val="28"/>
          <w:szCs w:val="28"/>
          <w:lang w:val="en-US" w:eastAsia="zh-CN"/>
        </w:rPr>
        <w:t>一般-大气(Q</w:t>
      </w:r>
      <w:r>
        <w:rPr>
          <w:rFonts w:hint="eastAsia" w:ascii="Times New Roman" w:hAnsi="Times New Roman" w:eastAsia="仿宋" w:cs="Times New Roman"/>
          <w:color w:val="auto"/>
          <w:sz w:val="28"/>
          <w:szCs w:val="28"/>
          <w:lang w:val="en-US" w:eastAsia="zh-CN"/>
        </w:rPr>
        <w:t>1-M1-E2</w:t>
      </w:r>
      <w:r>
        <w:rPr>
          <w:rFonts w:hint="default" w:ascii="Times New Roman" w:hAnsi="Times New Roman" w:eastAsia="仿宋" w:cs="Times New Roman"/>
          <w:color w:val="auto"/>
          <w:sz w:val="28"/>
          <w:szCs w:val="28"/>
          <w:lang w:val="en-US" w:eastAsia="zh-CN"/>
        </w:rPr>
        <w:t>)+一般-水(Q</w:t>
      </w:r>
      <w:r>
        <w:rPr>
          <w:rFonts w:hint="eastAsia" w:ascii="Times New Roman" w:hAnsi="Times New Roman" w:eastAsia="仿宋" w:cs="Times New Roman"/>
          <w:color w:val="auto"/>
          <w:sz w:val="28"/>
          <w:szCs w:val="28"/>
          <w:lang w:val="en-US" w:eastAsia="zh-CN"/>
        </w:rPr>
        <w:t>1-M1-E2</w:t>
      </w:r>
      <w:r>
        <w:rPr>
          <w:rFonts w:hint="default" w:ascii="Times New Roman" w:hAnsi="Times New Roman" w:eastAsia="仿宋" w:cs="Times New Roman"/>
          <w:color w:val="auto"/>
          <w:sz w:val="28"/>
          <w:szCs w:val="28"/>
          <w:lang w:val="en-US" w:eastAsia="zh-CN"/>
        </w:rPr>
        <w:t>)</w:t>
      </w:r>
      <w:r>
        <w:rPr>
          <w:rFonts w:hint="eastAsia" w:ascii="宋体" w:hAnsi="宋体" w:eastAsia="宋体" w:cs="宋体"/>
          <w:color w:val="auto"/>
          <w:sz w:val="28"/>
          <w:szCs w:val="28"/>
          <w:lang w:val="en-US" w:eastAsia="zh-CN"/>
        </w:rPr>
        <w:t>〕</w:t>
      </w:r>
      <w:r>
        <w:rPr>
          <w:rFonts w:hint="default" w:ascii="Times New Roman" w:hAnsi="Times New Roman" w:eastAsia="仿宋" w:cs="Times New Roman"/>
          <w:color w:val="auto"/>
          <w:sz w:val="28"/>
          <w:szCs w:val="28"/>
          <w:lang w:val="en-US" w:eastAsia="zh-CN"/>
        </w:rPr>
        <w:t xml:space="preserve">。 </w:t>
      </w:r>
      <w:bookmarkStart w:id="224" w:name="3.3环境风险评价结论"/>
      <w:bookmarkEnd w:id="224"/>
    </w:p>
    <w:p>
      <w:pPr>
        <w:pStyle w:val="5"/>
        <w:keepNext/>
        <w:keepLines/>
        <w:widowControl w:val="0"/>
        <w:wordWrap/>
        <w:adjustRightInd w:val="0"/>
        <w:snapToGrid w:val="0"/>
        <w:spacing w:before="0" w:beforeAutospacing="0" w:line="360" w:lineRule="auto"/>
        <w:ind w:left="0"/>
        <w:jc w:val="both"/>
        <w:textAlignment w:val="auto"/>
        <w:rPr>
          <w:rFonts w:hint="eastAsia" w:ascii="Times New Roman" w:hAnsi="Times New Roman" w:cs="Times New Roman"/>
          <w:b/>
          <w:bCs/>
          <w:color w:val="auto"/>
          <w:sz w:val="30"/>
          <w:szCs w:val="30"/>
          <w:lang w:val="en-US" w:eastAsia="zh-CN"/>
        </w:rPr>
      </w:pPr>
      <w:bookmarkStart w:id="225" w:name="_Toc19348"/>
      <w:r>
        <w:rPr>
          <w:rFonts w:hint="eastAsia" w:ascii="Times New Roman" w:hAnsi="Times New Roman" w:cs="Times New Roman"/>
          <w:b/>
          <w:bCs/>
          <w:color w:val="auto"/>
          <w:sz w:val="30"/>
          <w:szCs w:val="30"/>
          <w:lang w:val="en-US" w:eastAsia="zh-CN"/>
        </w:rPr>
        <w:t>3.3 环境风险评价结论</w:t>
      </w:r>
      <w:bookmarkEnd w:id="225"/>
    </w:p>
    <w:p>
      <w:pPr>
        <w:pStyle w:val="10"/>
        <w:widowControl w:val="0"/>
        <w:wordWrap/>
        <w:adjustRightInd/>
        <w:snapToGrid/>
        <w:spacing w:before="0" w:beforeAutospacing="0" w:line="240" w:lineRule="auto"/>
        <w:ind w:left="0" w:right="0" w:firstLine="560" w:firstLineChars="200"/>
        <w:jc w:val="both"/>
        <w:textAlignment w:val="auto"/>
        <w:rPr>
          <w:rFonts w:hint="default" w:ascii="Times New Roman" w:hAnsi="Times New Roman" w:eastAsia="仿宋" w:cs="Times New Roman"/>
          <w:color w:val="auto"/>
          <w:kern w:val="2"/>
          <w:sz w:val="28"/>
          <w:szCs w:val="28"/>
          <w:lang w:val="en-US" w:eastAsia="zh-CN" w:bidi="ar-SA"/>
        </w:rPr>
      </w:pPr>
      <w:r>
        <w:rPr>
          <w:rFonts w:hint="default" w:ascii="Times New Roman" w:hAnsi="Times New Roman" w:eastAsia="仿宋" w:cs="Times New Roman"/>
          <w:color w:val="auto"/>
          <w:kern w:val="2"/>
          <w:sz w:val="28"/>
          <w:szCs w:val="28"/>
          <w:lang w:val="en-US" w:eastAsia="zh-CN" w:bidi="ar-SA"/>
        </w:rPr>
        <w:t>见风险评估报告第</w:t>
      </w:r>
      <w:r>
        <w:rPr>
          <w:rFonts w:hint="eastAsia" w:ascii="Times New Roman" w:hAnsi="Times New Roman" w:eastAsia="仿宋" w:cs="Times New Roman"/>
          <w:color w:val="auto"/>
          <w:kern w:val="2"/>
          <w:sz w:val="28"/>
          <w:szCs w:val="28"/>
          <w:lang w:val="en-US" w:eastAsia="zh-CN" w:bidi="ar-SA"/>
        </w:rPr>
        <w:t>6.3</w:t>
      </w:r>
      <w:r>
        <w:rPr>
          <w:rFonts w:hint="default" w:ascii="Times New Roman" w:hAnsi="Times New Roman" w:eastAsia="仿宋" w:cs="Times New Roman"/>
          <w:color w:val="auto"/>
          <w:kern w:val="2"/>
          <w:sz w:val="28"/>
          <w:szCs w:val="28"/>
          <w:lang w:val="en-US" w:eastAsia="zh-CN" w:bidi="ar-SA"/>
        </w:rPr>
        <w:t xml:space="preserve"> 章。</w:t>
      </w:r>
    </w:p>
    <w:p>
      <w:pPr>
        <w:pStyle w:val="4"/>
        <w:keepNext/>
        <w:keepLines/>
        <w:widowControl w:val="0"/>
        <w:wordWrap/>
        <w:adjustRightInd w:val="0"/>
        <w:snapToGrid w:val="0"/>
        <w:spacing w:before="0" w:beforeAutospacing="0" w:line="360" w:lineRule="auto"/>
        <w:ind w:left="0" w:right="0"/>
        <w:jc w:val="both"/>
        <w:textAlignment w:val="auto"/>
        <w:outlineLvl w:val="0"/>
        <w:rPr>
          <w:rFonts w:hint="eastAsia" w:ascii="Times New Roman" w:hAnsi="Times New Roman" w:eastAsia="仿宋" w:cs="Times New Roman"/>
          <w:b/>
          <w:bCs/>
          <w:color w:val="auto"/>
          <w:sz w:val="32"/>
          <w:szCs w:val="32"/>
          <w:lang w:eastAsia="zh-CN"/>
        </w:rPr>
      </w:pPr>
      <w:bookmarkStart w:id="226" w:name="_Toc516651842"/>
      <w:bookmarkStart w:id="227" w:name="_Toc525292665"/>
      <w:bookmarkStart w:id="228" w:name="_Toc18669"/>
      <w:r>
        <w:rPr>
          <w:rFonts w:hint="default" w:ascii="Times New Roman" w:hAnsi="Times New Roman" w:eastAsia="仿宋" w:cs="Times New Roman"/>
          <w:b/>
          <w:bCs/>
          <w:color w:val="auto"/>
          <w:sz w:val="32"/>
          <w:szCs w:val="32"/>
        </w:rPr>
        <w:t>4</w:t>
      </w:r>
      <w:bookmarkEnd w:id="226"/>
      <w:bookmarkEnd w:id="227"/>
      <w:r>
        <w:rPr>
          <w:rFonts w:hint="eastAsia" w:ascii="Times New Roman" w:hAnsi="Times New Roman" w:cs="Times New Roman"/>
          <w:b/>
          <w:bCs/>
          <w:color w:val="auto"/>
          <w:sz w:val="32"/>
          <w:szCs w:val="32"/>
          <w:lang w:eastAsia="zh-CN"/>
        </w:rPr>
        <w:t>组织机构及职责</w:t>
      </w:r>
      <w:bookmarkEnd w:id="228"/>
    </w:p>
    <w:p>
      <w:pPr>
        <w:pStyle w:val="5"/>
        <w:keepNext/>
        <w:keepLines/>
        <w:widowControl w:val="0"/>
        <w:wordWrap/>
        <w:adjustRightInd w:val="0"/>
        <w:snapToGrid w:val="0"/>
        <w:spacing w:before="0" w:beforeAutospacing="0" w:line="360" w:lineRule="auto"/>
        <w:ind w:left="0"/>
        <w:jc w:val="both"/>
        <w:textAlignment w:val="auto"/>
        <w:rPr>
          <w:rFonts w:hint="eastAsia" w:ascii="Times New Roman" w:hAnsi="Times New Roman" w:eastAsia="仿宋" w:cs="Times New Roman"/>
          <w:b/>
          <w:bCs/>
          <w:color w:val="auto"/>
          <w:sz w:val="30"/>
          <w:szCs w:val="30"/>
          <w:lang w:eastAsia="zh-CN"/>
        </w:rPr>
      </w:pPr>
      <w:bookmarkStart w:id="229" w:name="_Toc516651843"/>
      <w:bookmarkStart w:id="230" w:name="_Toc525292666"/>
      <w:bookmarkStart w:id="231" w:name="_Toc7444"/>
      <w:r>
        <w:rPr>
          <w:rFonts w:hint="default" w:ascii="Times New Roman" w:hAnsi="Times New Roman" w:eastAsia="仿宋" w:cs="Times New Roman"/>
          <w:b/>
          <w:bCs/>
          <w:color w:val="auto"/>
          <w:sz w:val="30"/>
          <w:szCs w:val="30"/>
        </w:rPr>
        <w:t>4.1</w:t>
      </w:r>
      <w:bookmarkEnd w:id="229"/>
      <w:bookmarkEnd w:id="230"/>
      <w:r>
        <w:rPr>
          <w:rFonts w:hint="eastAsia" w:ascii="Times New Roman" w:hAnsi="Times New Roman" w:cs="Times New Roman"/>
          <w:b/>
          <w:bCs/>
          <w:color w:val="auto"/>
          <w:sz w:val="30"/>
          <w:szCs w:val="30"/>
          <w:lang w:eastAsia="zh-CN"/>
        </w:rPr>
        <w:t>组织机构</w:t>
      </w:r>
      <w:bookmarkEnd w:id="231"/>
    </w:p>
    <w:p>
      <w:pPr>
        <w:snapToGrid w:val="0"/>
        <w:spacing w:line="240" w:lineRule="auto"/>
        <w:ind w:firstLine="560" w:firstLineChars="200"/>
        <w:rPr>
          <w:rFonts w:hint="default" w:ascii="Times New Roman" w:hAnsi="Times New Roman" w:eastAsia="仿宋" w:cs="Times New Roman"/>
          <w:color w:val="auto"/>
          <w:sz w:val="28"/>
          <w:szCs w:val="28"/>
        </w:rPr>
      </w:pPr>
      <w:bookmarkStart w:id="232" w:name="_Toc516651844"/>
      <w:bookmarkStart w:id="233" w:name="_Toc525292667"/>
      <w:r>
        <w:rPr>
          <w:rFonts w:hint="default" w:ascii="Times New Roman" w:hAnsi="Times New Roman" w:eastAsia="仿宋" w:cs="Times New Roman"/>
          <w:color w:val="auto"/>
          <w:sz w:val="28"/>
          <w:szCs w:val="28"/>
        </w:rPr>
        <w:t>公司成立了事故应急救援指挥部，并成立了应急救援办公室，下设抢险救援组、医疗保障组、通讯联络组、应急保障组，其组织架构见图4.1-1。</w:t>
      </w:r>
    </w:p>
    <w:p>
      <w:pPr>
        <w:snapToGrid w:val="0"/>
        <w:spacing w:line="500" w:lineRule="exact"/>
        <w:ind w:firstLine="560" w:firstLineChars="200"/>
        <w:rPr>
          <w:rFonts w:hint="eastAsia" w:ascii="宋体" w:hAnsi="宋体"/>
          <w:color w:val="auto"/>
          <w:sz w:val="28"/>
          <w:szCs w:val="28"/>
        </w:rPr>
      </w:pPr>
    </w:p>
    <w:p>
      <w:pPr>
        <w:snapToGrid w:val="0"/>
        <w:spacing w:line="500" w:lineRule="exact"/>
        <w:ind w:firstLine="560" w:firstLineChars="200"/>
        <w:rPr>
          <w:rFonts w:hint="eastAsia" w:ascii="宋体" w:hAnsi="宋体"/>
          <w:color w:val="auto"/>
          <w:sz w:val="28"/>
          <w:szCs w:val="28"/>
        </w:rPr>
      </w:pPr>
    </w:p>
    <w:p>
      <w:pPr>
        <w:snapToGrid w:val="0"/>
        <w:spacing w:line="500" w:lineRule="exact"/>
        <w:ind w:firstLine="560" w:firstLineChars="200"/>
        <w:rPr>
          <w:rFonts w:hint="eastAsia" w:ascii="宋体" w:hAnsi="宋体"/>
          <w:color w:val="auto"/>
          <w:sz w:val="28"/>
          <w:szCs w:val="28"/>
        </w:rPr>
      </w:pPr>
    </w:p>
    <w:p>
      <w:pPr>
        <w:snapToGrid w:val="0"/>
        <w:spacing w:line="500" w:lineRule="exact"/>
        <w:ind w:firstLine="560" w:firstLineChars="200"/>
        <w:rPr>
          <w:rFonts w:hint="eastAsia" w:ascii="宋体" w:hAnsi="宋体"/>
          <w:color w:val="auto"/>
          <w:sz w:val="28"/>
          <w:szCs w:val="28"/>
        </w:rPr>
      </w:pPr>
    </w:p>
    <w:p>
      <w:pPr>
        <w:snapToGrid w:val="0"/>
        <w:spacing w:line="500" w:lineRule="exact"/>
        <w:ind w:firstLine="562" w:firstLineChars="200"/>
        <w:rPr>
          <w:rFonts w:hint="eastAsia" w:ascii="宋体" w:hAnsi="宋体"/>
          <w:color w:val="auto"/>
          <w:sz w:val="28"/>
          <w:szCs w:val="28"/>
        </w:rPr>
      </w:pPr>
      <w:r>
        <w:rPr>
          <w:rFonts w:hint="eastAsia" w:ascii="Cambria" w:hAnsi="Cambria" w:eastAsia="宋体" w:cs="黑体"/>
          <w:b/>
          <w:color w:val="auto"/>
          <w:kern w:val="2"/>
          <w:sz w:val="28"/>
          <w:szCs w:val="28"/>
          <w:lang w:val="en-US" w:eastAsia="zh-CN" w:bidi="ar-SA"/>
        </w:rPr>
        <w:pict>
          <v:group id="组合 357" o:spid="_x0000_s1265" o:spt="203" style="position:absolute;left:0pt;margin-left:73.8pt;margin-top:5.35pt;height:198.15pt;width:293.2pt;z-index:251857920;mso-width-relative:page;mso-height-relative:page;" coordorigin="3177,4600" coordsize="5864,3963">
            <o:lock v:ext="edit" position="f" selection="f" grouping="f" rotation="f" cropping="f" text="f" aspectratio="f"/>
            <v:line id="直线 358" o:spid="_x0000_s1266" o:spt="20" style="position:absolute;left:3921;top:5424;flip:x;height:0;width:466;" fillcolor="#FFFFFF" filled="f" o:preferrelative="t" stroked="f" coordsize="21600,21600">
              <v:path arrowok="t"/>
              <v:fill on="f" color2="#FFFFFF" focussize="0,0"/>
              <v:stroke on="f"/>
              <v:imagedata gain="65536f" blacklevel="0f" gamma="0" o:title=""/>
              <o:lock v:ext="edit" position="f" selection="f" grouping="f" rotation="f" cropping="f" text="f" aspectratio="f"/>
            </v:line>
            <v:rect id="矩形 359" o:spid="_x0000_s1267" o:spt="1" style="position:absolute;left:4827;top:4600;height:447;width:2490;" fillcolor="#FFFFFF" filled="f" o:preferrelative="t" stroked="t" coordsize="21600,21600">
              <v:path/>
              <v:fill on="f" color2="#FFFFFF"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仿宋" w:hAnsi="仿宋" w:eastAsia="仿宋" w:cs="仿宋"/>
                        <w:sz w:val="21"/>
                        <w:szCs w:val="21"/>
                      </w:rPr>
                    </w:pPr>
                    <w:r>
                      <w:rPr>
                        <w:rFonts w:hint="eastAsia" w:ascii="仿宋" w:hAnsi="仿宋" w:eastAsia="仿宋" w:cs="仿宋"/>
                        <w:sz w:val="21"/>
                        <w:szCs w:val="21"/>
                      </w:rPr>
                      <w:t>公司应急救援指挥部</w:t>
                    </w:r>
                  </w:p>
                </w:txbxContent>
              </v:textbox>
            </v:rect>
            <v:line id="直线 360" o:spid="_x0000_s1268" o:spt="20" style="position:absolute;left:6061;top:5087;height:473;width:0;"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v:rect id="矩形 361" o:spid="_x0000_s1269" o:spt="1" style="position:absolute;left:4797;top:5532;height:447;width:2490;" fillcolor="#FFFFFF" filled="f" o:preferrelative="t" stroked="t" coordsize="21600,21600">
              <v:path/>
              <v:fill on="f" color2="#FFFFFF"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仿宋" w:hAnsi="仿宋" w:eastAsia="仿宋" w:cs="仿宋"/>
                        <w:sz w:val="21"/>
                        <w:szCs w:val="21"/>
                      </w:rPr>
                    </w:pPr>
                    <w:r>
                      <w:rPr>
                        <w:rFonts w:hint="eastAsia" w:ascii="仿宋" w:hAnsi="仿宋" w:eastAsia="仿宋" w:cs="仿宋"/>
                        <w:sz w:val="21"/>
                        <w:szCs w:val="21"/>
                      </w:rPr>
                      <w:t>应急救援办公室</w:t>
                    </w:r>
                  </w:p>
                </w:txbxContent>
              </v:textbox>
            </v:rect>
            <v:line id="直线 362" o:spid="_x0000_s1270" o:spt="20" style="position:absolute;left:6047;top:6004;height:473;width:0;"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v:line id="直线 363" o:spid="_x0000_s1271" o:spt="20" style="position:absolute;left:3527;top:6448;height:0;width:5174;"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v:line id="直线 364" o:spid="_x0000_s1272" o:spt="20" style="position:absolute;left:8687;top:6464;height:473;width:0;"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v:rect id="矩形 365" o:spid="_x0000_s1273" o:spt="1" style="position:absolute;left:8351;top:6907;height:1656;width:690;" fillcolor="#FFFFFF" filled="f" o:preferrelative="t" stroked="t" coordsize="21600,21600">
              <v:path/>
              <v:fill on="f" color2="#FFFFFF"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宋体" w:hAnsi="宋体"/>
                        <w:szCs w:val="21"/>
                      </w:rPr>
                    </w:pPr>
                    <w:r>
                      <w:rPr>
                        <w:rFonts w:hint="eastAsia" w:ascii="仿宋" w:hAnsi="仿宋" w:eastAsia="仿宋" w:cs="仿宋"/>
                        <w:sz w:val="21"/>
                        <w:szCs w:val="21"/>
                      </w:rPr>
                      <w:t>应急保障组</w:t>
                    </w:r>
                  </w:p>
                </w:txbxContent>
              </v:textbox>
            </v:rect>
            <v:line id="直线 366" o:spid="_x0000_s1274" o:spt="20" style="position:absolute;left:7113;top:6448;height:473;width:0;"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v:rect id="矩形 367" o:spid="_x0000_s1275" o:spt="1" style="position:absolute;left:6777;top:6892;height:1656;width:690;" fillcolor="#FFFFFF" filled="f" o:preferrelative="t" stroked="t" coordsize="21600,21600">
              <v:path/>
              <v:fill on="f" color2="#FFFFFF"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宋体" w:hAnsi="宋体"/>
                        <w:szCs w:val="21"/>
                      </w:rPr>
                    </w:pPr>
                    <w:r>
                      <w:rPr>
                        <w:rFonts w:hint="eastAsia" w:ascii="Times New Roman" w:hAnsi="Times New Roman" w:eastAsia="仿宋" w:cs="Times New Roman"/>
                        <w:sz w:val="21"/>
                        <w:szCs w:val="21"/>
                      </w:rPr>
                      <w:t>通讯联络组</w:t>
                    </w:r>
                  </w:p>
                </w:txbxContent>
              </v:textbox>
            </v:rect>
            <v:line id="直线 368" o:spid="_x0000_s1276" o:spt="20" style="position:absolute;left:5117;top:6448;height:473;width:0;"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v:rect id="矩形 369" o:spid="_x0000_s1277" o:spt="1" style="position:absolute;left:4781;top:6892;height:1656;width:690;" fillcolor="#FFFFFF" filled="f" o:preferrelative="t" stroked="t" coordsize="21600,21600">
              <v:path/>
              <v:fill on="f" color2="#FFFFFF"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宋体" w:hAnsi="宋体"/>
                        <w:szCs w:val="21"/>
                      </w:rPr>
                    </w:pPr>
                    <w:r>
                      <w:rPr>
                        <w:rFonts w:hint="default" w:ascii="Times New Roman" w:hAnsi="Times New Roman" w:eastAsia="仿宋" w:cs="Times New Roman"/>
                        <w:sz w:val="21"/>
                        <w:szCs w:val="21"/>
                      </w:rPr>
                      <w:t>医疗保障组</w:t>
                    </w:r>
                  </w:p>
                </w:txbxContent>
              </v:textbox>
            </v:rect>
            <v:line id="直线 370" o:spid="_x0000_s1278" o:spt="20" style="position:absolute;left:3513;top:6448;height:473;width:0;" fillcolor="#FFFFFF" filled="f" o:preferrelative="t" stroked="t" coordsize="21600,21600">
              <v:path arrowok="t"/>
              <v:fill on="f" color2="#FFFFFF" focussize="0,0"/>
              <v:stroke color="#000000" color2="#FFFFFF" miterlimit="2" endarrow="block"/>
              <v:imagedata gain="65536f" blacklevel="0f" gamma="0" o:title=""/>
              <o:lock v:ext="edit" position="f" selection="f" grouping="f" rotation="f" cropping="f" text="f" aspectratio="f"/>
            </v:line>
            <v:rect id="矩形 371" o:spid="_x0000_s1279" o:spt="1" style="position:absolute;left:3177;top:6892;height:1656;width:690;" fillcolor="#FFFFFF" filled="f" o:preferrelative="t" stroked="t" coordsize="21600,21600">
              <v:path/>
              <v:fill on="f" color2="#FFFFFF" focussize="0,0"/>
              <v:stroke color="#000000" color2="#FFFFFF" miterlimit="2"/>
              <v:imagedata gain="65536f" blacklevel="0f" gamma="0" o:title=""/>
              <o:lock v:ext="edit" position="f" selection="f" grouping="f" rotation="f" cropping="f" text="f" aspectratio="f"/>
              <v:textbox>
                <w:txbxContent>
                  <w:p>
                    <w:pPr>
                      <w:snapToGrid w:val="0"/>
                      <w:jc w:val="center"/>
                      <w:rPr>
                        <w:rFonts w:hint="eastAsia" w:ascii="宋体" w:hAnsi="宋体"/>
                        <w:szCs w:val="21"/>
                      </w:rPr>
                    </w:pPr>
                    <w:r>
                      <w:rPr>
                        <w:rFonts w:hint="eastAsia" w:ascii="仿宋" w:hAnsi="仿宋" w:eastAsia="仿宋" w:cs="仿宋"/>
                        <w:sz w:val="21"/>
                        <w:szCs w:val="21"/>
                      </w:rPr>
                      <w:t>抢险救援组</w:t>
                    </w:r>
                  </w:p>
                </w:txbxContent>
              </v:textbox>
            </v:rect>
          </v:group>
        </w:pict>
      </w:r>
    </w:p>
    <w:p>
      <w:pPr>
        <w:snapToGrid w:val="0"/>
        <w:spacing w:line="500" w:lineRule="exact"/>
        <w:ind w:firstLine="420" w:firstLineChars="200"/>
        <w:rPr>
          <w:rFonts w:hint="eastAsia"/>
          <w:color w:val="auto"/>
        </w:rPr>
      </w:pPr>
    </w:p>
    <w:p>
      <w:pPr>
        <w:snapToGrid w:val="0"/>
        <w:spacing w:line="500" w:lineRule="exact"/>
        <w:ind w:firstLine="420" w:firstLineChars="200"/>
        <w:rPr>
          <w:rFonts w:hint="eastAsia"/>
          <w:color w:val="auto"/>
        </w:rPr>
      </w:pPr>
    </w:p>
    <w:p>
      <w:pPr>
        <w:snapToGrid w:val="0"/>
        <w:spacing w:line="500" w:lineRule="exact"/>
        <w:ind w:firstLine="420" w:firstLineChars="200"/>
        <w:rPr>
          <w:rFonts w:hint="eastAsia"/>
          <w:color w:val="auto"/>
        </w:rPr>
      </w:pPr>
    </w:p>
    <w:p>
      <w:pPr>
        <w:snapToGrid w:val="0"/>
        <w:spacing w:line="500" w:lineRule="exact"/>
        <w:ind w:firstLine="420" w:firstLineChars="200"/>
        <w:rPr>
          <w:rFonts w:hint="eastAsia"/>
          <w:color w:val="auto"/>
        </w:rPr>
      </w:pPr>
    </w:p>
    <w:p>
      <w:pPr>
        <w:snapToGrid w:val="0"/>
        <w:spacing w:line="500" w:lineRule="exact"/>
        <w:ind w:firstLine="420" w:firstLineChars="200"/>
        <w:rPr>
          <w:rFonts w:hint="eastAsia"/>
          <w:color w:val="auto"/>
        </w:rPr>
      </w:pPr>
    </w:p>
    <w:p>
      <w:pPr>
        <w:snapToGrid w:val="0"/>
        <w:spacing w:line="500" w:lineRule="exact"/>
        <w:ind w:firstLine="420" w:firstLineChars="200"/>
        <w:rPr>
          <w:rFonts w:hint="eastAsia"/>
          <w:color w:val="auto"/>
        </w:rPr>
      </w:pPr>
    </w:p>
    <w:p>
      <w:pPr>
        <w:snapToGrid w:val="0"/>
        <w:spacing w:line="500" w:lineRule="exact"/>
        <w:ind w:firstLine="420" w:firstLineChars="200"/>
        <w:rPr>
          <w:rFonts w:hint="eastAsia"/>
          <w:color w:val="auto"/>
        </w:rPr>
      </w:pPr>
    </w:p>
    <w:p>
      <w:pPr>
        <w:snapToGrid w:val="0"/>
        <w:spacing w:line="500" w:lineRule="exact"/>
        <w:ind w:firstLine="420" w:firstLineChars="200"/>
        <w:rPr>
          <w:rFonts w:hint="eastAsia"/>
          <w:color w:val="auto"/>
        </w:rPr>
      </w:pPr>
      <w:r>
        <w:rPr>
          <w:rFonts w:hint="eastAsia" w:ascii="Calibri" w:hAnsi="Calibri" w:eastAsia="宋体" w:cs="黑体"/>
          <w:color w:val="auto"/>
          <w:kern w:val="2"/>
          <w:sz w:val="21"/>
          <w:szCs w:val="22"/>
          <w:lang w:val="en-US" w:eastAsia="zh-CN" w:bidi="ar-SA"/>
        </w:rPr>
        <w:pict>
          <v:rect id="矩形 372" o:spid="_x0000_s1280" o:spt="1" style="position:absolute;left:0pt;margin-left:47pt;margin-top:10.4pt;height:31.7pt;width:331.4pt;z-index:25185894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snapToGrid w:val="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图4.1-1应急突发环境事件组织架构图</w:t>
                  </w:r>
                </w:p>
              </w:txbxContent>
            </v:textbox>
          </v:rect>
        </w:pict>
      </w:r>
    </w:p>
    <w:p>
      <w:pPr>
        <w:spacing w:line="360" w:lineRule="auto"/>
        <w:jc w:val="left"/>
        <w:outlineLvl w:val="1"/>
        <w:rPr>
          <w:rFonts w:hint="eastAsia" w:eastAsia="仿宋"/>
          <w:b/>
          <w:bCs/>
          <w:color w:val="auto"/>
          <w:sz w:val="30"/>
          <w:szCs w:val="30"/>
        </w:rPr>
      </w:pPr>
      <w:bookmarkStart w:id="234" w:name="_Toc30457"/>
      <w:r>
        <w:rPr>
          <w:rFonts w:hint="eastAsia" w:ascii="Times New Roman" w:hAnsi="Times New Roman" w:cs="Times New Roman"/>
          <w:b/>
          <w:bCs/>
          <w:color w:val="auto"/>
          <w:sz w:val="30"/>
          <w:szCs w:val="30"/>
          <w:lang w:eastAsia="zh-CN"/>
        </w:rPr>
        <w:t>4</w:t>
      </w:r>
      <w:r>
        <w:rPr>
          <w:rFonts w:hint="default" w:ascii="Times New Roman" w:hAnsi="Times New Roman" w:eastAsia="仿宋" w:cs="Times New Roman"/>
          <w:b/>
          <w:bCs/>
          <w:color w:val="auto"/>
          <w:sz w:val="30"/>
          <w:szCs w:val="30"/>
          <w:lang w:eastAsia="zh-CN"/>
        </w:rPr>
        <w:t>.2指挥机构组成及职责</w:t>
      </w:r>
      <w:bookmarkEnd w:id="232"/>
      <w:bookmarkEnd w:id="233"/>
      <w:bookmarkEnd w:id="234"/>
    </w:p>
    <w:p>
      <w:pPr>
        <w:pStyle w:val="6"/>
        <w:snapToGrid w:val="0"/>
        <w:spacing w:beforeLines="50" w:afterLines="50" w:line="360" w:lineRule="auto"/>
        <w:ind w:left="0"/>
        <w:outlineLvl w:val="2"/>
        <w:rPr>
          <w:rFonts w:hint="default" w:ascii="Times New Roman" w:hAnsi="Times New Roman" w:eastAsia="仿宋" w:cs="Times New Roman"/>
          <w:b/>
          <w:color w:val="auto"/>
          <w:sz w:val="28"/>
          <w:szCs w:val="28"/>
        </w:rPr>
      </w:pPr>
      <w:bookmarkStart w:id="235" w:name="_Toc30059"/>
      <w:bookmarkStart w:id="236" w:name="_Toc516651845"/>
      <w:bookmarkStart w:id="237" w:name="_Toc525292668"/>
      <w:r>
        <w:rPr>
          <w:rFonts w:hint="default" w:ascii="Times New Roman" w:hAnsi="Times New Roman" w:eastAsia="仿宋" w:cs="Times New Roman"/>
          <w:b/>
          <w:color w:val="auto"/>
          <w:sz w:val="28"/>
          <w:szCs w:val="28"/>
        </w:rPr>
        <w:t>4.2.1指挥机构组成</w:t>
      </w:r>
      <w:bookmarkEnd w:id="235"/>
      <w:bookmarkEnd w:id="236"/>
      <w:bookmarkEnd w:id="237"/>
    </w:p>
    <w:p>
      <w:pPr>
        <w:snapToGrid w:val="0"/>
        <w:spacing w:line="240" w:lineRule="auto"/>
        <w:ind w:firstLine="560" w:firstLineChars="200"/>
        <w:rPr>
          <w:rFonts w:hint="default" w:ascii="Times New Roman" w:hAnsi="Times New Roman" w:eastAsia="仿宋" w:cs="Times New Roman"/>
          <w:color w:val="auto"/>
          <w:sz w:val="28"/>
          <w:szCs w:val="28"/>
          <w:lang w:val="zh-CN"/>
        </w:rPr>
      </w:pPr>
      <w:r>
        <w:rPr>
          <w:rFonts w:hint="default" w:ascii="Times New Roman" w:hAnsi="Times New Roman" w:eastAsia="仿宋" w:cs="Times New Roman"/>
          <w:color w:val="auto"/>
          <w:sz w:val="28"/>
          <w:szCs w:val="28"/>
          <w:lang w:val="zh-CN"/>
        </w:rPr>
        <w:t>为</w:t>
      </w:r>
      <w:r>
        <w:rPr>
          <w:rFonts w:hint="eastAsia" w:ascii="Times New Roman" w:hAnsi="Times New Roman" w:eastAsia="仿宋" w:cs="Times New Roman"/>
          <w:color w:val="auto"/>
          <w:sz w:val="28"/>
          <w:szCs w:val="28"/>
          <w:lang w:val="zh-CN"/>
        </w:rPr>
        <w:t>做好</w:t>
      </w:r>
      <w:r>
        <w:rPr>
          <w:rFonts w:hint="default" w:ascii="Times New Roman" w:hAnsi="Times New Roman" w:eastAsia="仿宋" w:cs="Times New Roman"/>
          <w:color w:val="auto"/>
          <w:sz w:val="28"/>
          <w:szCs w:val="28"/>
          <w:lang w:val="zh-CN"/>
        </w:rPr>
        <w:t>各类</w:t>
      </w:r>
      <w:r>
        <w:rPr>
          <w:rFonts w:hint="eastAsia" w:ascii="Times New Roman" w:hAnsi="Times New Roman" w:eastAsia="仿宋" w:cs="Times New Roman"/>
          <w:color w:val="auto"/>
          <w:sz w:val="28"/>
          <w:szCs w:val="28"/>
          <w:lang w:val="zh-CN"/>
        </w:rPr>
        <w:t>生产安全</w:t>
      </w:r>
      <w:r>
        <w:rPr>
          <w:rFonts w:hint="default" w:ascii="Times New Roman" w:hAnsi="Times New Roman" w:eastAsia="仿宋" w:cs="Times New Roman"/>
          <w:color w:val="auto"/>
          <w:sz w:val="28"/>
          <w:szCs w:val="28"/>
          <w:lang w:val="zh-CN"/>
        </w:rPr>
        <w:t>事故的应急处置，</w:t>
      </w:r>
      <w:r>
        <w:rPr>
          <w:rFonts w:hint="eastAsia" w:ascii="Times New Roman" w:hAnsi="Times New Roman" w:eastAsia="仿宋" w:cs="Times New Roman"/>
          <w:color w:val="auto"/>
          <w:sz w:val="28"/>
          <w:szCs w:val="28"/>
          <w:lang w:val="zh-CN"/>
        </w:rPr>
        <w:t>公司</w:t>
      </w:r>
      <w:r>
        <w:rPr>
          <w:rFonts w:hint="default" w:ascii="Times New Roman" w:hAnsi="Times New Roman" w:eastAsia="仿宋" w:cs="Times New Roman"/>
          <w:color w:val="auto"/>
          <w:sz w:val="28"/>
          <w:szCs w:val="28"/>
          <w:lang w:val="zh-CN"/>
        </w:rPr>
        <w:t>成立生产安全事故应急救援指挥部，为公司重大事故预防、应急处置的最高领导机构。</w:t>
      </w:r>
    </w:p>
    <w:p>
      <w:pPr>
        <w:snapToGrid w:val="0"/>
        <w:spacing w:line="240" w:lineRule="auto"/>
        <w:ind w:firstLine="560" w:firstLineChars="200"/>
        <w:rPr>
          <w:rFonts w:hint="default" w:ascii="Times New Roman" w:hAnsi="Times New Roman" w:eastAsia="仿宋" w:cs="Times New Roman"/>
          <w:color w:val="auto"/>
          <w:sz w:val="28"/>
          <w:szCs w:val="28"/>
          <w:lang w:val="zh-CN"/>
        </w:rPr>
      </w:pPr>
      <w:r>
        <w:rPr>
          <w:rFonts w:hint="default" w:ascii="Times New Roman" w:hAnsi="Times New Roman" w:eastAsia="仿宋" w:cs="Times New Roman"/>
          <w:color w:val="auto"/>
          <w:sz w:val="28"/>
          <w:szCs w:val="28"/>
          <w:lang w:val="zh-CN"/>
        </w:rPr>
        <w:t>1、应急</w:t>
      </w:r>
      <w:r>
        <w:rPr>
          <w:rFonts w:hint="eastAsia" w:ascii="Times New Roman" w:hAnsi="Times New Roman" w:eastAsia="仿宋" w:cs="Times New Roman"/>
          <w:color w:val="auto"/>
          <w:sz w:val="28"/>
          <w:szCs w:val="28"/>
          <w:lang w:val="zh-CN" w:eastAsia="zh-CN"/>
        </w:rPr>
        <w:t>救援</w:t>
      </w:r>
      <w:r>
        <w:rPr>
          <w:rFonts w:hint="default" w:ascii="Times New Roman" w:hAnsi="Times New Roman" w:eastAsia="仿宋" w:cs="Times New Roman"/>
          <w:color w:val="auto"/>
          <w:sz w:val="28"/>
          <w:szCs w:val="28"/>
          <w:lang w:val="zh-CN"/>
        </w:rPr>
        <w:t>指挥部成员</w:t>
      </w:r>
    </w:p>
    <w:p>
      <w:pPr>
        <w:snapToGrid w:val="0"/>
        <w:spacing w:line="240" w:lineRule="auto"/>
        <w:ind w:firstLine="560" w:firstLineChars="200"/>
        <w:rPr>
          <w:rFonts w:hint="default" w:ascii="Times New Roman" w:hAnsi="Times New Roman" w:eastAsia="仿宋" w:cs="Times New Roman"/>
          <w:color w:val="auto"/>
          <w:sz w:val="28"/>
          <w:szCs w:val="28"/>
          <w:lang w:val="zh-CN"/>
        </w:rPr>
      </w:pPr>
      <w:r>
        <w:rPr>
          <w:rFonts w:hint="default" w:ascii="Times New Roman" w:hAnsi="Times New Roman" w:eastAsia="仿宋" w:cs="Times New Roman"/>
          <w:color w:val="auto"/>
          <w:sz w:val="28"/>
          <w:szCs w:val="28"/>
          <w:lang w:val="zh-CN"/>
        </w:rPr>
        <w:t>总 指 挥：</w:t>
      </w:r>
      <w:r>
        <w:rPr>
          <w:rFonts w:hint="eastAsia" w:ascii="Times New Roman" w:hAnsi="Times New Roman" w:eastAsia="仿宋" w:cs="Times New Roman"/>
          <w:color w:val="auto"/>
          <w:sz w:val="28"/>
          <w:szCs w:val="28"/>
          <w:lang w:val="zh-CN"/>
        </w:rPr>
        <w:t>王爱军</w:t>
      </w:r>
    </w:p>
    <w:p>
      <w:pPr>
        <w:snapToGrid w:val="0"/>
        <w:spacing w:line="240" w:lineRule="auto"/>
        <w:ind w:firstLine="560" w:firstLineChars="200"/>
        <w:rPr>
          <w:rFonts w:hint="default" w:ascii="Times New Roman" w:hAnsi="Times New Roman" w:eastAsia="仿宋" w:cs="Times New Roman"/>
          <w:color w:val="auto"/>
          <w:sz w:val="28"/>
          <w:szCs w:val="28"/>
          <w:lang w:val="zh-CN"/>
        </w:rPr>
      </w:pPr>
      <w:r>
        <w:rPr>
          <w:rFonts w:hint="default" w:ascii="Times New Roman" w:hAnsi="Times New Roman" w:eastAsia="仿宋" w:cs="Times New Roman"/>
          <w:color w:val="auto"/>
          <w:sz w:val="28"/>
          <w:szCs w:val="28"/>
          <w:lang w:val="zh-CN"/>
        </w:rPr>
        <w:t>副总指挥</w:t>
      </w:r>
      <w:r>
        <w:rPr>
          <w:rFonts w:hint="default" w:ascii="Times New Roman" w:hAnsi="Times New Roman" w:eastAsia="仿宋" w:cs="Times New Roman"/>
          <w:color w:val="auto"/>
          <w:sz w:val="28"/>
          <w:szCs w:val="28"/>
          <w:lang w:val="zh-CN"/>
        </w:rPr>
        <w:t>：黄立军</w:t>
      </w:r>
      <w:r>
        <w:rPr>
          <w:rFonts w:hint="eastAsia" w:ascii="Times New Roman" w:hAnsi="Times New Roman" w:eastAsia="仿宋" w:cs="Times New Roman"/>
          <w:color w:val="auto"/>
          <w:sz w:val="28"/>
          <w:szCs w:val="28"/>
          <w:lang w:val="zh-CN"/>
        </w:rPr>
        <w:t>、乔亮</w:t>
      </w:r>
    </w:p>
    <w:p>
      <w:pPr>
        <w:snapToGrid w:val="0"/>
        <w:spacing w:line="240" w:lineRule="auto"/>
        <w:ind w:firstLine="560" w:firstLineChars="200"/>
        <w:rPr>
          <w:rFonts w:hint="default" w:ascii="Times New Roman" w:hAnsi="Times New Roman" w:eastAsia="仿宋" w:cs="Times New Roman"/>
          <w:color w:val="auto"/>
          <w:sz w:val="28"/>
          <w:szCs w:val="28"/>
          <w:lang w:val="zh-CN"/>
        </w:rPr>
      </w:pPr>
      <w:r>
        <w:rPr>
          <w:rFonts w:hint="default" w:ascii="Times New Roman" w:hAnsi="Times New Roman" w:eastAsia="仿宋" w:cs="Times New Roman"/>
          <w:color w:val="auto"/>
          <w:sz w:val="28"/>
          <w:szCs w:val="28"/>
          <w:lang w:val="zh-CN"/>
        </w:rPr>
        <w:t>2、应急救援办公室成员</w:t>
      </w:r>
    </w:p>
    <w:p>
      <w:pPr>
        <w:snapToGrid w:val="0"/>
        <w:spacing w:line="240" w:lineRule="auto"/>
        <w:ind w:firstLine="560" w:firstLineChars="200"/>
        <w:rPr>
          <w:rFonts w:hint="default" w:ascii="Times New Roman" w:hAnsi="Times New Roman" w:eastAsia="仿宋" w:cs="Times New Roman"/>
          <w:color w:val="auto"/>
          <w:sz w:val="28"/>
          <w:szCs w:val="28"/>
          <w:lang w:val="zh-CN"/>
        </w:rPr>
      </w:pPr>
      <w:r>
        <w:rPr>
          <w:rFonts w:hint="default" w:ascii="Times New Roman" w:hAnsi="Times New Roman" w:eastAsia="仿宋" w:cs="Times New Roman"/>
          <w:color w:val="auto"/>
          <w:sz w:val="28"/>
          <w:szCs w:val="28"/>
          <w:lang w:val="zh-CN"/>
        </w:rPr>
        <w:t>应急指挥部下设应急救援办公室，办公地点设在</w:t>
      </w:r>
      <w:r>
        <w:rPr>
          <w:rFonts w:hint="eastAsia" w:ascii="Times New Roman" w:hAnsi="Times New Roman" w:eastAsia="仿宋" w:cs="Times New Roman"/>
          <w:color w:val="auto"/>
          <w:sz w:val="28"/>
          <w:szCs w:val="28"/>
          <w:lang w:val="zh-CN"/>
        </w:rPr>
        <w:t>厂务部</w:t>
      </w:r>
      <w:r>
        <w:rPr>
          <w:rFonts w:hint="default" w:ascii="Times New Roman" w:hAnsi="Times New Roman" w:eastAsia="仿宋" w:cs="Times New Roman"/>
          <w:color w:val="auto"/>
          <w:sz w:val="28"/>
          <w:szCs w:val="28"/>
          <w:lang w:val="zh-CN"/>
        </w:rPr>
        <w:t>。</w:t>
      </w:r>
    </w:p>
    <w:p>
      <w:pPr>
        <w:snapToGrid w:val="0"/>
        <w:spacing w:line="240" w:lineRule="auto"/>
        <w:ind w:firstLine="560" w:firstLineChars="200"/>
        <w:rPr>
          <w:rFonts w:hint="default" w:ascii="Times New Roman" w:hAnsi="Times New Roman" w:eastAsia="仿宋" w:cs="Times New Roman"/>
          <w:color w:val="auto"/>
          <w:sz w:val="28"/>
          <w:szCs w:val="28"/>
          <w:lang w:val="zh-CN"/>
        </w:rPr>
      </w:pPr>
      <w:r>
        <w:rPr>
          <w:rFonts w:hint="default" w:ascii="Times New Roman" w:hAnsi="Times New Roman" w:eastAsia="仿宋" w:cs="Times New Roman"/>
          <w:color w:val="auto"/>
          <w:sz w:val="28"/>
          <w:szCs w:val="28"/>
          <w:lang w:val="zh-CN"/>
        </w:rPr>
        <w:t>办公室主任：闫德仲</w:t>
      </w:r>
    </w:p>
    <w:p>
      <w:pPr>
        <w:snapToGrid w:val="0"/>
        <w:spacing w:line="240" w:lineRule="auto"/>
        <w:ind w:firstLine="560" w:firstLineChars="200"/>
        <w:rPr>
          <w:rFonts w:hint="default" w:ascii="Times New Roman" w:hAnsi="Times New Roman" w:eastAsia="仿宋" w:cs="Times New Roman"/>
          <w:color w:val="auto"/>
          <w:sz w:val="28"/>
          <w:szCs w:val="28"/>
          <w:lang w:val="zh-CN"/>
        </w:rPr>
      </w:pPr>
      <w:r>
        <w:rPr>
          <w:rFonts w:hint="default" w:ascii="Times New Roman" w:hAnsi="Times New Roman" w:eastAsia="仿宋" w:cs="Times New Roman"/>
          <w:color w:val="auto"/>
          <w:sz w:val="28"/>
          <w:szCs w:val="28"/>
          <w:lang w:val="zh-CN"/>
        </w:rPr>
        <w:t>应急办电话：0516-69850385（24小时）</w:t>
      </w:r>
    </w:p>
    <w:p>
      <w:pPr>
        <w:snapToGrid w:val="0"/>
        <w:spacing w:line="240" w:lineRule="auto"/>
        <w:ind w:firstLine="560" w:firstLineChars="200"/>
        <w:rPr>
          <w:rFonts w:hint="default" w:ascii="Times New Roman" w:hAnsi="Times New Roman" w:eastAsia="仿宋" w:cs="Times New Roman"/>
          <w:color w:val="auto"/>
          <w:sz w:val="28"/>
          <w:szCs w:val="28"/>
          <w:lang w:val="zh-CN"/>
        </w:rPr>
      </w:pPr>
      <w:r>
        <w:rPr>
          <w:rFonts w:hint="default" w:ascii="Times New Roman" w:hAnsi="Times New Roman" w:eastAsia="仿宋" w:cs="Times New Roman"/>
          <w:color w:val="auto"/>
          <w:sz w:val="28"/>
          <w:szCs w:val="28"/>
          <w:lang w:val="zh-CN"/>
        </w:rPr>
        <w:t>3、应急救援专业小组成员</w:t>
      </w:r>
    </w:p>
    <w:p>
      <w:pPr>
        <w:snapToGrid w:val="0"/>
        <w:spacing w:line="240" w:lineRule="auto"/>
        <w:ind w:firstLine="560" w:firstLineChars="200"/>
        <w:rPr>
          <w:rFonts w:hint="default" w:ascii="Times New Roman" w:hAnsi="Times New Roman" w:eastAsia="仿宋" w:cs="Times New Roman"/>
          <w:color w:val="auto"/>
          <w:sz w:val="28"/>
          <w:szCs w:val="28"/>
          <w:lang w:val="zh-CN"/>
        </w:rPr>
      </w:pPr>
      <w:r>
        <w:rPr>
          <w:rFonts w:hint="default" w:ascii="Times New Roman" w:hAnsi="Times New Roman" w:eastAsia="仿宋" w:cs="Times New Roman"/>
          <w:color w:val="auto"/>
          <w:sz w:val="28"/>
          <w:szCs w:val="28"/>
          <w:lang w:val="zh-CN"/>
        </w:rPr>
        <w:t>应急指挥部下设4个应急救援专业小组，分别为</w:t>
      </w:r>
      <w:r>
        <w:rPr>
          <w:rFonts w:hint="default" w:ascii="Times New Roman" w:hAnsi="Times New Roman" w:eastAsia="仿宋" w:cs="Times New Roman"/>
          <w:color w:val="auto"/>
          <w:sz w:val="28"/>
          <w:szCs w:val="28"/>
        </w:rPr>
        <w:t>抢险救援组、医疗保障组、通讯联络组、应急保障组</w:t>
      </w:r>
      <w:r>
        <w:rPr>
          <w:rFonts w:hint="default" w:ascii="Times New Roman" w:hAnsi="Times New Roman" w:eastAsia="仿宋" w:cs="Times New Roman"/>
          <w:color w:val="auto"/>
          <w:sz w:val="28"/>
          <w:szCs w:val="28"/>
          <w:lang w:val="zh-CN"/>
        </w:rPr>
        <w:t>。</w:t>
      </w:r>
    </w:p>
    <w:p>
      <w:pPr>
        <w:snapToGrid w:val="0"/>
        <w:spacing w:line="240" w:lineRule="auto"/>
        <w:ind w:firstLine="560" w:firstLineChars="200"/>
        <w:rPr>
          <w:rFonts w:hint="default"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1</w:t>
      </w:r>
      <w:r>
        <w:rPr>
          <w:rFonts w:hint="eastAsia" w:ascii="Times New Roman" w:hAnsi="Times New Roman" w:eastAsia="仿宋" w:cs="Times New Roman"/>
          <w:color w:val="auto"/>
          <w:sz w:val="28"/>
          <w:szCs w:val="28"/>
          <w:lang w:val="zh-CN" w:eastAsia="zh-CN"/>
        </w:rPr>
        <w:t>）</w:t>
      </w:r>
      <w:r>
        <w:rPr>
          <w:rFonts w:hint="default" w:ascii="Times New Roman" w:hAnsi="Times New Roman" w:eastAsia="仿宋" w:cs="Times New Roman"/>
          <w:color w:val="auto"/>
          <w:sz w:val="28"/>
          <w:szCs w:val="28"/>
          <w:lang w:val="zh-CN"/>
        </w:rPr>
        <w:t>抢险救援组</w:t>
      </w:r>
    </w:p>
    <w:p>
      <w:pPr>
        <w:snapToGrid w:val="0"/>
        <w:spacing w:line="240" w:lineRule="auto"/>
        <w:ind w:firstLine="560" w:firstLineChars="200"/>
        <w:rPr>
          <w:rFonts w:hint="eastAsia" w:ascii="Times New Roman" w:hAnsi="Times New Roman" w:eastAsia="仿宋" w:cs="Times New Roman"/>
          <w:color w:val="auto"/>
          <w:sz w:val="28"/>
          <w:szCs w:val="28"/>
          <w:lang w:val="zh-CN"/>
        </w:rPr>
      </w:pPr>
      <w:r>
        <w:rPr>
          <w:rFonts w:hint="default" w:ascii="Times New Roman" w:hAnsi="Times New Roman" w:eastAsia="仿宋" w:cs="Times New Roman"/>
          <w:color w:val="auto"/>
          <w:sz w:val="28"/>
          <w:szCs w:val="28"/>
          <w:lang w:val="zh-CN"/>
        </w:rPr>
        <w:t>组长：</w:t>
      </w:r>
      <w:r>
        <w:rPr>
          <w:rFonts w:hint="eastAsia" w:ascii="Times New Roman" w:hAnsi="Times New Roman" w:eastAsia="仿宋" w:cs="Times New Roman"/>
          <w:color w:val="auto"/>
          <w:sz w:val="28"/>
          <w:szCs w:val="28"/>
          <w:lang w:val="zh-CN"/>
        </w:rPr>
        <w:t>王若臣</w:t>
      </w:r>
    </w:p>
    <w:p>
      <w:pPr>
        <w:pStyle w:val="40"/>
        <w:snapToGrid w:val="0"/>
        <w:spacing w:line="240" w:lineRule="auto"/>
        <w:ind w:firstLine="482"/>
        <w:rPr>
          <w:rFonts w:hint="eastAsia" w:ascii="Times New Roman" w:hAnsi="Times New Roman" w:eastAsia="仿宋" w:cs="Times New Roman"/>
          <w:color w:val="auto"/>
          <w:kern w:val="2"/>
          <w:sz w:val="28"/>
          <w:szCs w:val="28"/>
          <w:lang w:val="zh-CN" w:eastAsia="zh-CN" w:bidi="ar-SA"/>
        </w:rPr>
      </w:pPr>
      <w:r>
        <w:rPr>
          <w:rFonts w:hint="eastAsia" w:ascii="Times New Roman" w:hAnsi="Times New Roman" w:eastAsia="仿宋" w:cs="Times New Roman"/>
          <w:color w:val="auto"/>
          <w:kern w:val="2"/>
          <w:sz w:val="28"/>
          <w:szCs w:val="28"/>
          <w:lang w:val="zh-CN" w:eastAsia="zh-CN" w:bidi="ar-SA"/>
        </w:rPr>
        <w:t>成员：黄庆、李北京</w:t>
      </w:r>
    </w:p>
    <w:p>
      <w:pPr>
        <w:snapToGrid w:val="0"/>
        <w:spacing w:line="240" w:lineRule="auto"/>
        <w:ind w:firstLine="560" w:firstLineChars="200"/>
        <w:rPr>
          <w:rFonts w:hint="default"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2</w:t>
      </w:r>
      <w:r>
        <w:rPr>
          <w:rFonts w:hint="eastAsia" w:ascii="Times New Roman" w:hAnsi="Times New Roman" w:eastAsia="仿宋" w:cs="Times New Roman"/>
          <w:color w:val="auto"/>
          <w:sz w:val="28"/>
          <w:szCs w:val="28"/>
          <w:lang w:val="zh-CN" w:eastAsia="zh-CN"/>
        </w:rPr>
        <w:t>）</w:t>
      </w:r>
      <w:r>
        <w:rPr>
          <w:rFonts w:hint="default" w:ascii="Times New Roman" w:hAnsi="Times New Roman" w:eastAsia="仿宋" w:cs="Times New Roman"/>
          <w:color w:val="auto"/>
          <w:sz w:val="28"/>
          <w:szCs w:val="28"/>
        </w:rPr>
        <w:t>医疗保障组</w:t>
      </w:r>
    </w:p>
    <w:p>
      <w:pPr>
        <w:snapToGrid w:val="0"/>
        <w:spacing w:line="240" w:lineRule="auto"/>
        <w:ind w:firstLine="560" w:firstLineChars="200"/>
        <w:rPr>
          <w:rFonts w:hint="default" w:ascii="Times New Roman" w:hAnsi="Times New Roman" w:eastAsia="仿宋" w:cs="Times New Roman"/>
          <w:color w:val="auto"/>
          <w:sz w:val="28"/>
          <w:szCs w:val="28"/>
          <w:lang w:val="zh-CN"/>
        </w:rPr>
      </w:pPr>
      <w:r>
        <w:rPr>
          <w:rFonts w:hint="default" w:ascii="Times New Roman" w:hAnsi="Times New Roman" w:eastAsia="仿宋" w:cs="Times New Roman"/>
          <w:color w:val="auto"/>
          <w:sz w:val="28"/>
          <w:szCs w:val="28"/>
          <w:lang w:val="zh-CN"/>
        </w:rPr>
        <w:t>组长</w:t>
      </w:r>
      <w:r>
        <w:rPr>
          <w:rFonts w:hint="eastAsia" w:ascii="Times New Roman" w:hAnsi="Times New Roman" w:eastAsia="仿宋" w:cs="Times New Roman"/>
          <w:color w:val="auto"/>
          <w:sz w:val="28"/>
          <w:szCs w:val="28"/>
          <w:lang w:val="zh-CN"/>
        </w:rPr>
        <w:t>：童媛</w:t>
      </w:r>
    </w:p>
    <w:p>
      <w:pPr>
        <w:snapToGrid w:val="0"/>
        <w:spacing w:line="240" w:lineRule="auto"/>
        <w:ind w:firstLine="560" w:firstLineChars="200"/>
        <w:rPr>
          <w:rFonts w:hint="eastAsia" w:ascii="Times New Roman" w:hAnsi="Times New Roman" w:eastAsia="仿宋" w:cs="Times New Roman"/>
          <w:color w:val="auto"/>
          <w:sz w:val="28"/>
          <w:szCs w:val="28"/>
          <w:lang w:val="zh-CN" w:eastAsia="zh-CN"/>
        </w:rPr>
      </w:pPr>
      <w:r>
        <w:rPr>
          <w:rFonts w:hint="default" w:ascii="Times New Roman" w:hAnsi="Times New Roman" w:eastAsia="仿宋" w:cs="Times New Roman"/>
          <w:color w:val="auto"/>
          <w:sz w:val="28"/>
          <w:szCs w:val="28"/>
          <w:lang w:val="zh-CN"/>
        </w:rPr>
        <w:t>成员：高维良</w:t>
      </w:r>
      <w:r>
        <w:rPr>
          <w:rFonts w:hint="eastAsia" w:ascii="Times New Roman" w:hAnsi="Times New Roman" w:eastAsia="仿宋" w:cs="Times New Roman"/>
          <w:color w:val="auto"/>
          <w:sz w:val="28"/>
          <w:szCs w:val="28"/>
          <w:lang w:val="zh-CN"/>
        </w:rPr>
        <w:t>、</w:t>
      </w:r>
      <w:r>
        <w:rPr>
          <w:rFonts w:hint="default" w:ascii="Times New Roman" w:hAnsi="Times New Roman" w:eastAsia="仿宋" w:cs="Times New Roman"/>
          <w:color w:val="auto"/>
          <w:sz w:val="28"/>
          <w:szCs w:val="28"/>
          <w:lang w:val="zh-CN"/>
        </w:rPr>
        <w:t>佟玲</w:t>
      </w:r>
    </w:p>
    <w:p>
      <w:pPr>
        <w:snapToGrid w:val="0"/>
        <w:spacing w:line="240" w:lineRule="auto"/>
        <w:ind w:firstLine="560" w:firstLineChars="200"/>
        <w:rPr>
          <w:rFonts w:hint="default"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3</w:t>
      </w:r>
      <w:r>
        <w:rPr>
          <w:rFonts w:hint="eastAsia" w:ascii="Times New Roman" w:hAnsi="Times New Roman" w:eastAsia="仿宋" w:cs="Times New Roman"/>
          <w:color w:val="auto"/>
          <w:sz w:val="28"/>
          <w:szCs w:val="28"/>
          <w:lang w:val="zh-CN" w:eastAsia="zh-CN"/>
        </w:rPr>
        <w:t>）</w:t>
      </w:r>
      <w:r>
        <w:rPr>
          <w:rFonts w:hint="default" w:ascii="Times New Roman" w:hAnsi="Times New Roman" w:eastAsia="仿宋" w:cs="Times New Roman"/>
          <w:color w:val="auto"/>
          <w:sz w:val="28"/>
          <w:szCs w:val="28"/>
        </w:rPr>
        <w:t>通讯联络组</w:t>
      </w:r>
    </w:p>
    <w:p>
      <w:pPr>
        <w:snapToGrid w:val="0"/>
        <w:spacing w:line="240" w:lineRule="auto"/>
        <w:ind w:firstLine="560" w:firstLineChars="200"/>
        <w:rPr>
          <w:rFonts w:hint="default" w:ascii="Times New Roman" w:hAnsi="Times New Roman" w:eastAsia="仿宋" w:cs="Times New Roman"/>
          <w:color w:val="auto"/>
          <w:sz w:val="28"/>
          <w:szCs w:val="28"/>
          <w:lang w:val="zh-CN"/>
        </w:rPr>
      </w:pPr>
      <w:r>
        <w:rPr>
          <w:rFonts w:hint="default" w:ascii="Times New Roman" w:hAnsi="Times New Roman" w:eastAsia="仿宋" w:cs="Times New Roman"/>
          <w:color w:val="auto"/>
          <w:sz w:val="28"/>
          <w:szCs w:val="28"/>
          <w:lang w:val="zh-CN"/>
        </w:rPr>
        <w:t>组长：</w:t>
      </w:r>
      <w:r>
        <w:rPr>
          <w:rFonts w:hint="eastAsia" w:ascii="Times New Roman" w:hAnsi="Times New Roman" w:eastAsia="仿宋" w:cs="Times New Roman"/>
          <w:color w:val="auto"/>
          <w:sz w:val="28"/>
          <w:szCs w:val="28"/>
          <w:lang w:val="zh-CN"/>
        </w:rPr>
        <w:t>佟莉</w:t>
      </w:r>
    </w:p>
    <w:p>
      <w:pPr>
        <w:snapToGrid w:val="0"/>
        <w:spacing w:line="240" w:lineRule="auto"/>
        <w:ind w:firstLine="560" w:firstLineChars="200"/>
        <w:rPr>
          <w:rFonts w:hint="eastAsia" w:ascii="Times New Roman" w:hAnsi="Times New Roman" w:eastAsia="仿宋" w:cs="Times New Roman"/>
          <w:color w:val="auto"/>
          <w:sz w:val="28"/>
          <w:szCs w:val="28"/>
          <w:lang w:val="zh-CN"/>
        </w:rPr>
      </w:pPr>
      <w:r>
        <w:rPr>
          <w:rFonts w:hint="default" w:ascii="Times New Roman" w:hAnsi="Times New Roman" w:eastAsia="仿宋" w:cs="Times New Roman"/>
          <w:color w:val="auto"/>
          <w:sz w:val="28"/>
          <w:szCs w:val="28"/>
          <w:lang w:val="zh-CN"/>
        </w:rPr>
        <w:t>成员：</w:t>
      </w:r>
      <w:r>
        <w:rPr>
          <w:rFonts w:hint="eastAsia" w:ascii="Times New Roman" w:hAnsi="Times New Roman" w:eastAsia="仿宋" w:cs="Times New Roman"/>
          <w:color w:val="auto"/>
          <w:sz w:val="28"/>
          <w:szCs w:val="28"/>
          <w:lang w:val="zh-CN"/>
        </w:rPr>
        <w:t>张计新、孙海北</w:t>
      </w:r>
    </w:p>
    <w:p>
      <w:pPr>
        <w:snapToGrid w:val="0"/>
        <w:spacing w:line="240" w:lineRule="auto"/>
        <w:ind w:firstLine="560" w:firstLineChars="200"/>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4</w:t>
      </w:r>
      <w:r>
        <w:rPr>
          <w:rFonts w:hint="eastAsia" w:ascii="Times New Roman" w:hAnsi="Times New Roman" w:eastAsia="仿宋" w:cs="Times New Roman"/>
          <w:color w:val="auto"/>
          <w:sz w:val="28"/>
          <w:szCs w:val="28"/>
          <w:lang w:val="zh-CN" w:eastAsia="zh-CN"/>
        </w:rPr>
        <w:t>）</w:t>
      </w:r>
      <w:r>
        <w:rPr>
          <w:rFonts w:hint="default" w:ascii="Times New Roman" w:hAnsi="Times New Roman" w:eastAsia="仿宋" w:cs="Times New Roman"/>
          <w:color w:val="auto"/>
          <w:sz w:val="28"/>
          <w:szCs w:val="28"/>
          <w:lang w:val="zh-CN"/>
        </w:rPr>
        <w:t>应急保障组</w:t>
      </w:r>
    </w:p>
    <w:p>
      <w:pPr>
        <w:snapToGrid w:val="0"/>
        <w:spacing w:line="240" w:lineRule="auto"/>
        <w:ind w:firstLine="560" w:firstLineChars="200"/>
        <w:rPr>
          <w:rFonts w:hint="eastAsia" w:ascii="Times New Roman" w:hAnsi="Times New Roman" w:eastAsia="仿宋" w:cs="Times New Roman"/>
          <w:color w:val="auto"/>
          <w:sz w:val="28"/>
          <w:szCs w:val="28"/>
          <w:lang w:val="zh-CN" w:eastAsia="zh-CN"/>
        </w:rPr>
      </w:pPr>
      <w:r>
        <w:rPr>
          <w:rFonts w:hint="default" w:ascii="Times New Roman" w:hAnsi="Times New Roman" w:eastAsia="仿宋" w:cs="Times New Roman"/>
          <w:color w:val="auto"/>
          <w:sz w:val="28"/>
          <w:szCs w:val="28"/>
          <w:lang w:val="zh-CN"/>
        </w:rPr>
        <w:t>组长：杲伟锋</w:t>
      </w:r>
    </w:p>
    <w:p>
      <w:pPr>
        <w:snapToGrid w:val="0"/>
        <w:spacing w:line="240" w:lineRule="auto"/>
        <w:ind w:firstLine="560" w:firstLineChars="200"/>
        <w:rPr>
          <w:rFonts w:hint="default" w:ascii="Times New Roman" w:hAnsi="Times New Roman" w:eastAsia="仿宋" w:cs="Times New Roman"/>
          <w:color w:val="auto"/>
          <w:sz w:val="28"/>
          <w:szCs w:val="28"/>
          <w:lang w:val="zh-CN" w:eastAsia="zh-CN"/>
        </w:rPr>
      </w:pPr>
      <w:r>
        <w:rPr>
          <w:rFonts w:hint="default" w:ascii="Times New Roman" w:hAnsi="Times New Roman" w:eastAsia="仿宋" w:cs="Times New Roman"/>
          <w:color w:val="auto"/>
          <w:sz w:val="28"/>
          <w:szCs w:val="28"/>
          <w:lang w:val="zh-CN"/>
        </w:rPr>
        <w:t>成员：刘治中</w:t>
      </w:r>
      <w:r>
        <w:rPr>
          <w:rFonts w:hint="eastAsia" w:ascii="Times New Roman" w:hAnsi="Times New Roman" w:eastAsia="仿宋" w:cs="Times New Roman"/>
          <w:color w:val="auto"/>
          <w:sz w:val="28"/>
          <w:szCs w:val="28"/>
          <w:lang w:val="zh-CN"/>
        </w:rPr>
        <w:t>、</w:t>
      </w:r>
      <w:r>
        <w:rPr>
          <w:rFonts w:hint="default" w:ascii="Times New Roman" w:hAnsi="Times New Roman" w:eastAsia="仿宋" w:cs="Times New Roman"/>
          <w:color w:val="auto"/>
          <w:sz w:val="28"/>
          <w:szCs w:val="28"/>
          <w:lang w:val="zh-CN"/>
        </w:rPr>
        <w:t>张晟铭</w:t>
      </w:r>
    </w:p>
    <w:p>
      <w:pPr>
        <w:pStyle w:val="6"/>
        <w:widowControl w:val="0"/>
        <w:wordWrap/>
        <w:adjustRightInd/>
        <w:snapToGrid w:val="0"/>
        <w:spacing w:before="0" w:beforeAutospacing="0" w:after="0" w:line="360" w:lineRule="auto"/>
        <w:ind w:left="0"/>
        <w:textAlignment w:val="auto"/>
        <w:outlineLvl w:val="2"/>
        <w:rPr>
          <w:rFonts w:hint="default" w:ascii="Times New Roman" w:hAnsi="Times New Roman" w:eastAsia="仿宋" w:cs="Times New Roman"/>
          <w:b/>
          <w:bCs/>
          <w:color w:val="auto"/>
          <w:sz w:val="28"/>
          <w:szCs w:val="28"/>
        </w:rPr>
      </w:pPr>
      <w:bookmarkStart w:id="238" w:name="_Toc26657"/>
      <w:bookmarkStart w:id="239" w:name="_Toc525292669"/>
      <w:r>
        <w:rPr>
          <w:rFonts w:hint="default" w:ascii="Times New Roman" w:hAnsi="Times New Roman" w:eastAsia="仿宋" w:cs="Times New Roman"/>
          <w:b/>
          <w:bCs/>
          <w:color w:val="auto"/>
          <w:sz w:val="28"/>
          <w:szCs w:val="28"/>
        </w:rPr>
        <w:t>4.2.2指挥机构职责</w:t>
      </w:r>
      <w:bookmarkEnd w:id="238"/>
      <w:bookmarkEnd w:id="239"/>
    </w:p>
    <w:p>
      <w:pPr>
        <w:widowControl w:val="0"/>
        <w:wordWrap/>
        <w:adjustRightInd/>
        <w:snapToGrid w:val="0"/>
        <w:spacing w:before="0" w:beforeAutospacing="0" w:line="360" w:lineRule="auto"/>
        <w:ind w:left="0"/>
        <w:textAlignment w:val="auto"/>
        <w:outlineLvl w:val="9"/>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rPr>
        <w:t>4.2.2.1公司应急救援指挥部职责</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1、</w:t>
      </w:r>
      <w:r>
        <w:rPr>
          <w:rFonts w:hint="eastAsia" w:ascii="Times New Roman" w:hAnsi="Times New Roman" w:eastAsia="仿宋" w:cs="Times New Roman"/>
          <w:color w:val="auto"/>
          <w:sz w:val="28"/>
          <w:szCs w:val="28"/>
          <w:lang w:val="zh-CN"/>
        </w:rPr>
        <w:t>贯彻执行国家、当地政府、上级有关部门关于环境安全的方针、政策及规定；</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2、</w:t>
      </w:r>
      <w:r>
        <w:rPr>
          <w:rFonts w:hint="eastAsia" w:ascii="Times New Roman" w:hAnsi="Times New Roman" w:eastAsia="仿宋" w:cs="Times New Roman"/>
          <w:color w:val="auto"/>
          <w:sz w:val="28"/>
          <w:szCs w:val="28"/>
          <w:lang w:val="zh-CN"/>
        </w:rPr>
        <w:t>组织制定突发环境事件应急预案；</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3、</w:t>
      </w:r>
      <w:r>
        <w:rPr>
          <w:rFonts w:hint="eastAsia" w:ascii="Times New Roman" w:hAnsi="Times New Roman" w:eastAsia="仿宋" w:cs="Times New Roman"/>
          <w:color w:val="auto"/>
          <w:sz w:val="28"/>
          <w:szCs w:val="28"/>
          <w:lang w:val="zh-CN"/>
        </w:rPr>
        <w:t>组建突发环境事件应急救援队伍；</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4、</w:t>
      </w:r>
      <w:r>
        <w:rPr>
          <w:rFonts w:hint="eastAsia" w:ascii="Times New Roman" w:hAnsi="Times New Roman" w:eastAsia="仿宋" w:cs="Times New Roman"/>
          <w:color w:val="auto"/>
          <w:sz w:val="28"/>
          <w:szCs w:val="28"/>
          <w:lang w:val="zh-CN"/>
        </w:rPr>
        <w:t>负责应急防范设施设备的建设，以及应急救援物资的储备；</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5、</w:t>
      </w:r>
      <w:r>
        <w:rPr>
          <w:rFonts w:hint="eastAsia" w:ascii="Times New Roman" w:hAnsi="Times New Roman" w:eastAsia="仿宋" w:cs="Times New Roman"/>
          <w:color w:val="auto"/>
          <w:sz w:val="28"/>
          <w:szCs w:val="28"/>
          <w:lang w:val="zh-CN"/>
        </w:rPr>
        <w:t>检查、督促做好突发环境事件的预防措施和应急救援的各项准备工作，督促、协助有关部门及时消除有毒有害物质的跑、冒、滴、漏；</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6、</w:t>
      </w:r>
      <w:r>
        <w:rPr>
          <w:rFonts w:hint="eastAsia" w:ascii="Times New Roman" w:hAnsi="Times New Roman" w:eastAsia="仿宋" w:cs="Times New Roman"/>
          <w:color w:val="auto"/>
          <w:sz w:val="28"/>
          <w:szCs w:val="28"/>
          <w:lang w:val="zh-CN"/>
        </w:rPr>
        <w:t>负责组织预案的审批与更新；</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7、</w:t>
      </w:r>
      <w:r>
        <w:rPr>
          <w:rFonts w:hint="eastAsia" w:ascii="Times New Roman" w:hAnsi="Times New Roman" w:eastAsia="仿宋" w:cs="Times New Roman"/>
          <w:color w:val="auto"/>
          <w:sz w:val="28"/>
          <w:szCs w:val="28"/>
          <w:lang w:val="zh-CN"/>
        </w:rPr>
        <w:t>负责组织外部评审；</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8、</w:t>
      </w:r>
      <w:r>
        <w:rPr>
          <w:rFonts w:hint="eastAsia" w:ascii="Times New Roman" w:hAnsi="Times New Roman" w:eastAsia="仿宋" w:cs="Times New Roman"/>
          <w:color w:val="auto"/>
          <w:sz w:val="28"/>
          <w:szCs w:val="28"/>
          <w:lang w:val="zh-CN"/>
        </w:rPr>
        <w:t>批准本预案的启动与终止；</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9、</w:t>
      </w:r>
      <w:r>
        <w:rPr>
          <w:rFonts w:hint="eastAsia" w:ascii="Times New Roman" w:hAnsi="Times New Roman" w:eastAsia="仿宋" w:cs="Times New Roman"/>
          <w:color w:val="auto"/>
          <w:sz w:val="28"/>
          <w:szCs w:val="28"/>
          <w:lang w:val="zh-CN"/>
        </w:rPr>
        <w:t>确定现场指挥人员；</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10、</w:t>
      </w:r>
      <w:r>
        <w:rPr>
          <w:rFonts w:hint="eastAsia" w:ascii="Times New Roman" w:hAnsi="Times New Roman" w:eastAsia="仿宋" w:cs="Times New Roman"/>
          <w:color w:val="auto"/>
          <w:sz w:val="28"/>
          <w:szCs w:val="28"/>
          <w:lang w:val="zh-CN"/>
        </w:rPr>
        <w:t>协调事件现场有关工作；</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11、</w:t>
      </w:r>
      <w:r>
        <w:rPr>
          <w:rFonts w:hint="eastAsia" w:ascii="Times New Roman" w:hAnsi="Times New Roman" w:eastAsia="仿宋" w:cs="Times New Roman"/>
          <w:color w:val="auto"/>
          <w:sz w:val="28"/>
          <w:szCs w:val="28"/>
          <w:lang w:val="zh-CN"/>
        </w:rPr>
        <w:t>负责应急队伍的调动和资源配置；</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12、</w:t>
      </w:r>
      <w:r>
        <w:rPr>
          <w:rFonts w:hint="eastAsia" w:ascii="Times New Roman" w:hAnsi="Times New Roman" w:eastAsia="仿宋" w:cs="Times New Roman"/>
          <w:color w:val="auto"/>
          <w:sz w:val="28"/>
          <w:szCs w:val="28"/>
          <w:lang w:val="zh-CN"/>
        </w:rPr>
        <w:t>突发环境事件信息的上报及可能受影响区域的通报工作；</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13、</w:t>
      </w:r>
      <w:r>
        <w:rPr>
          <w:rFonts w:hint="eastAsia" w:ascii="Times New Roman" w:hAnsi="Times New Roman" w:eastAsia="仿宋" w:cs="Times New Roman"/>
          <w:color w:val="auto"/>
          <w:sz w:val="28"/>
          <w:szCs w:val="28"/>
          <w:lang w:val="zh-CN"/>
        </w:rPr>
        <w:t>负责应急状态下请求外部救援力量的决策；</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14、</w:t>
      </w:r>
      <w:r>
        <w:rPr>
          <w:rFonts w:hint="eastAsia" w:ascii="Times New Roman" w:hAnsi="Times New Roman" w:eastAsia="仿宋" w:cs="Times New Roman"/>
          <w:color w:val="auto"/>
          <w:sz w:val="28"/>
          <w:szCs w:val="28"/>
          <w:lang w:val="zh-CN"/>
        </w:rPr>
        <w:t xml:space="preserve">接受上级应急救援指挥机构的指令和调动，协助事件的处理；配合有关部门对环境进行修复、事件调查、经验教训总结；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15、</w:t>
      </w:r>
      <w:r>
        <w:rPr>
          <w:rFonts w:hint="eastAsia" w:ascii="Times New Roman" w:hAnsi="Times New Roman" w:eastAsia="仿宋" w:cs="Times New Roman"/>
          <w:color w:val="auto"/>
          <w:sz w:val="28"/>
          <w:szCs w:val="28"/>
          <w:lang w:val="zh-CN"/>
        </w:rPr>
        <w:t>负责保护事件现场及相关数据；</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eastAsia="zh-CN"/>
        </w:rPr>
        <w:t>16、</w:t>
      </w:r>
      <w:r>
        <w:rPr>
          <w:rFonts w:hint="eastAsia" w:ascii="Times New Roman" w:hAnsi="Times New Roman" w:eastAsia="仿宋" w:cs="Times New Roman"/>
          <w:color w:val="auto"/>
          <w:sz w:val="28"/>
          <w:szCs w:val="28"/>
          <w:lang w:val="zh-CN"/>
        </w:rPr>
        <w:t>有计划地组织实施突发环境事件应急救援的培训，根据应急预案进行演练，向周边企业提供本单位有关危险物质特性、救援知识等宣传材料。</w:t>
      </w:r>
    </w:p>
    <w:p>
      <w:pPr>
        <w:widowControl w:val="0"/>
        <w:wordWrap/>
        <w:adjustRightInd/>
        <w:snapToGrid w:val="0"/>
        <w:spacing w:before="0" w:beforeAutospacing="0" w:line="360" w:lineRule="auto"/>
        <w:ind w:left="0"/>
        <w:textAlignment w:val="auto"/>
        <w:outlineLvl w:val="9"/>
        <w:rPr>
          <w:rFonts w:hint="default" w:ascii="Times New Roman" w:hAnsi="Times New Roman" w:eastAsia="仿宋" w:cs="Times New Roman"/>
          <w:b/>
          <w:bCs/>
          <w:color w:val="auto"/>
          <w:sz w:val="28"/>
          <w:szCs w:val="28"/>
        </w:rPr>
      </w:pPr>
      <w:r>
        <w:rPr>
          <w:rFonts w:hint="eastAsia" w:ascii="Times New Roman" w:hAnsi="Times New Roman" w:eastAsia="仿宋" w:cs="Times New Roman"/>
          <w:b/>
          <w:bCs/>
          <w:color w:val="auto"/>
          <w:sz w:val="28"/>
          <w:szCs w:val="28"/>
        </w:rPr>
        <w:t>4.2.2.2</w:t>
      </w:r>
      <w:r>
        <w:rPr>
          <w:rFonts w:hint="default" w:ascii="Times New Roman" w:hAnsi="Times New Roman" w:eastAsia="仿宋" w:cs="Times New Roman"/>
          <w:b/>
          <w:bCs/>
          <w:color w:val="auto"/>
          <w:sz w:val="28"/>
          <w:szCs w:val="28"/>
        </w:rPr>
        <w:t>总指挥职责</w:t>
      </w:r>
    </w:p>
    <w:p>
      <w:pPr>
        <w:snapToGrid w:val="0"/>
        <w:spacing w:line="240" w:lineRule="auto"/>
        <w:ind w:firstLine="560" w:firstLineChars="200"/>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1、审定并签发公司生产安全事故应急救援预案。</w:t>
      </w:r>
    </w:p>
    <w:p>
      <w:pPr>
        <w:snapToGrid w:val="0"/>
        <w:spacing w:line="240" w:lineRule="auto"/>
        <w:ind w:firstLine="560" w:firstLineChars="200"/>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2、下达预警和预警解除指令。</w:t>
      </w:r>
    </w:p>
    <w:p>
      <w:pPr>
        <w:snapToGrid w:val="0"/>
        <w:spacing w:line="240" w:lineRule="auto"/>
        <w:ind w:firstLine="560" w:firstLineChars="200"/>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3、下达应急预案启动和终止指令。</w:t>
      </w:r>
    </w:p>
    <w:p>
      <w:pPr>
        <w:snapToGrid w:val="0"/>
        <w:spacing w:line="240" w:lineRule="auto"/>
        <w:ind w:firstLine="560" w:firstLineChars="200"/>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4、负责人员、资源配置、应急队伍的调动。</w:t>
      </w:r>
    </w:p>
    <w:p>
      <w:pPr>
        <w:snapToGrid w:val="0"/>
        <w:spacing w:line="240" w:lineRule="auto"/>
        <w:ind w:firstLine="560" w:firstLineChars="200"/>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5、协调和指挥事故现场处置有关工作。</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6、组织事故调查。</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7、审批公司应急救援费用。</w:t>
      </w:r>
    </w:p>
    <w:p>
      <w:pPr>
        <w:widowControl w:val="0"/>
        <w:wordWrap/>
        <w:adjustRightInd/>
        <w:snapToGrid w:val="0"/>
        <w:spacing w:before="0" w:beforeAutospacing="0" w:line="360" w:lineRule="auto"/>
        <w:ind w:left="0"/>
        <w:textAlignment w:val="auto"/>
        <w:outlineLvl w:val="9"/>
        <w:rPr>
          <w:rFonts w:hint="default" w:ascii="Times New Roman" w:hAnsi="Times New Roman" w:eastAsia="仿宋" w:cs="Times New Roman"/>
          <w:b/>
          <w:bCs/>
          <w:color w:val="auto"/>
          <w:sz w:val="28"/>
          <w:szCs w:val="28"/>
        </w:rPr>
      </w:pPr>
      <w:r>
        <w:rPr>
          <w:rFonts w:hint="eastAsia" w:ascii="Times New Roman" w:hAnsi="Times New Roman" w:eastAsia="仿宋" w:cs="Times New Roman"/>
          <w:b/>
          <w:bCs/>
          <w:color w:val="auto"/>
          <w:sz w:val="28"/>
          <w:szCs w:val="28"/>
        </w:rPr>
        <w:t>4</w:t>
      </w:r>
      <w:r>
        <w:rPr>
          <w:rFonts w:hint="default" w:ascii="Times New Roman" w:hAnsi="Times New Roman" w:eastAsia="仿宋" w:cs="Times New Roman"/>
          <w:b/>
          <w:bCs/>
          <w:color w:val="auto"/>
          <w:sz w:val="28"/>
          <w:szCs w:val="28"/>
        </w:rPr>
        <w:t>.2.2.</w:t>
      </w:r>
      <w:r>
        <w:rPr>
          <w:rFonts w:hint="eastAsia" w:ascii="Times New Roman" w:hAnsi="Times New Roman" w:eastAsia="仿宋" w:cs="Times New Roman"/>
          <w:b/>
          <w:bCs/>
          <w:color w:val="auto"/>
          <w:sz w:val="28"/>
          <w:szCs w:val="28"/>
        </w:rPr>
        <w:t xml:space="preserve">3 </w:t>
      </w:r>
      <w:r>
        <w:rPr>
          <w:rFonts w:hint="default" w:ascii="Times New Roman" w:hAnsi="Times New Roman" w:eastAsia="仿宋" w:cs="Times New Roman"/>
          <w:b/>
          <w:bCs/>
          <w:color w:val="auto"/>
          <w:sz w:val="28"/>
          <w:szCs w:val="28"/>
        </w:rPr>
        <w:t>副总指挥职责</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协助总指挥负责应急救援具体工作；向总指挥提出救援过程中应考虑和采取的安全与技术措施；负责总指挥不在时的职责。</w:t>
      </w:r>
    </w:p>
    <w:p>
      <w:pPr>
        <w:widowControl w:val="0"/>
        <w:wordWrap/>
        <w:adjustRightInd/>
        <w:snapToGrid w:val="0"/>
        <w:spacing w:before="0" w:beforeAutospacing="0" w:line="360" w:lineRule="auto"/>
        <w:ind w:left="0"/>
        <w:textAlignment w:val="auto"/>
        <w:outlineLvl w:val="9"/>
        <w:rPr>
          <w:rFonts w:hint="default" w:ascii="Times New Roman" w:hAnsi="Times New Roman" w:eastAsia="仿宋" w:cs="Times New Roman"/>
          <w:b/>
          <w:bCs/>
          <w:color w:val="auto"/>
          <w:sz w:val="28"/>
          <w:szCs w:val="28"/>
        </w:rPr>
      </w:pPr>
      <w:r>
        <w:rPr>
          <w:rFonts w:hint="eastAsia" w:ascii="Times New Roman" w:hAnsi="Times New Roman" w:eastAsia="仿宋" w:cs="Times New Roman"/>
          <w:b/>
          <w:bCs/>
          <w:color w:val="auto"/>
          <w:sz w:val="28"/>
          <w:szCs w:val="28"/>
        </w:rPr>
        <w:t>4</w:t>
      </w:r>
      <w:r>
        <w:rPr>
          <w:rFonts w:hint="default" w:ascii="Times New Roman" w:hAnsi="Times New Roman" w:eastAsia="仿宋" w:cs="Times New Roman"/>
          <w:b/>
          <w:bCs/>
          <w:color w:val="auto"/>
          <w:sz w:val="28"/>
          <w:szCs w:val="28"/>
        </w:rPr>
        <w:t>.2.2.</w:t>
      </w:r>
      <w:r>
        <w:rPr>
          <w:rFonts w:hint="eastAsia" w:ascii="Times New Roman" w:hAnsi="Times New Roman" w:eastAsia="仿宋" w:cs="Times New Roman"/>
          <w:b/>
          <w:bCs/>
          <w:color w:val="auto"/>
          <w:sz w:val="28"/>
          <w:szCs w:val="28"/>
        </w:rPr>
        <w:t xml:space="preserve">4 </w:t>
      </w:r>
      <w:r>
        <w:rPr>
          <w:rFonts w:hint="default" w:ascii="Times New Roman" w:hAnsi="Times New Roman" w:eastAsia="仿宋" w:cs="Times New Roman"/>
          <w:b/>
          <w:bCs/>
          <w:color w:val="auto"/>
          <w:sz w:val="28"/>
          <w:szCs w:val="28"/>
        </w:rPr>
        <w:t>应急指挥部成员职责</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1、在总指挥、副总指挥的领导下，负责公司应急指挥部的日常应急工作。</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2、负责公司应急指挥部的应急值班。</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3、应急事件发生时，组织、指导、协助和协调进行应急处理和应急救援。</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4、掌握应急事件的发生情况，及时向公司应急指挥部领导汇报，确定应急处理对策。</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5、公司应急力量的调配、应急物资的准备。</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6、负责公司应急预案演练方案的策划，并组织实施和演练总结。</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 xml:space="preserve">7、按照公司总指挥、副总指挥指令，及时通知公司各职能部门和相关单位。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8、负责上报材料的起草工作。</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9、负责组织编写现场应急处置的总结，负责应急资料的归档。</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10、负责组织公司级应急预案的修订及备案工作。</w:t>
      </w:r>
    </w:p>
    <w:p>
      <w:pPr>
        <w:widowControl w:val="0"/>
        <w:wordWrap/>
        <w:adjustRightInd/>
        <w:snapToGrid w:val="0"/>
        <w:spacing w:before="0" w:beforeAutospacing="0" w:line="360" w:lineRule="auto"/>
        <w:ind w:left="0"/>
        <w:textAlignment w:val="auto"/>
        <w:outlineLvl w:val="9"/>
        <w:rPr>
          <w:rFonts w:hint="default" w:ascii="Times New Roman" w:hAnsi="Times New Roman" w:eastAsia="仿宋" w:cs="Times New Roman"/>
          <w:b/>
          <w:bCs/>
          <w:color w:val="auto"/>
          <w:sz w:val="28"/>
          <w:szCs w:val="28"/>
        </w:rPr>
      </w:pPr>
      <w:r>
        <w:rPr>
          <w:rFonts w:hint="eastAsia" w:ascii="Times New Roman" w:hAnsi="Times New Roman" w:eastAsia="仿宋" w:cs="Times New Roman"/>
          <w:b/>
          <w:bCs/>
          <w:color w:val="auto"/>
          <w:sz w:val="28"/>
          <w:szCs w:val="28"/>
        </w:rPr>
        <w:t>4</w:t>
      </w:r>
      <w:r>
        <w:rPr>
          <w:rFonts w:hint="default" w:ascii="Times New Roman" w:hAnsi="Times New Roman" w:eastAsia="仿宋" w:cs="Times New Roman"/>
          <w:b/>
          <w:bCs/>
          <w:color w:val="auto"/>
          <w:sz w:val="28"/>
          <w:szCs w:val="28"/>
        </w:rPr>
        <w:t>.2.2</w:t>
      </w:r>
      <w:r>
        <w:rPr>
          <w:rFonts w:hint="eastAsia" w:ascii="Times New Roman" w:hAnsi="Times New Roman" w:eastAsia="仿宋" w:cs="Times New Roman"/>
          <w:b/>
          <w:bCs/>
          <w:color w:val="auto"/>
          <w:sz w:val="28"/>
          <w:szCs w:val="28"/>
        </w:rPr>
        <w:t>.5</w:t>
      </w:r>
      <w:r>
        <w:rPr>
          <w:rFonts w:hint="default" w:ascii="Times New Roman" w:hAnsi="Times New Roman" w:eastAsia="仿宋" w:cs="Times New Roman"/>
          <w:b/>
          <w:bCs/>
          <w:color w:val="auto"/>
          <w:sz w:val="28"/>
          <w:szCs w:val="28"/>
        </w:rPr>
        <w:t>应急救援办公室职责</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1、负责突发安全事故现场的通讯和联络工作，保证事故现场信息畅通。</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2、接到重大事故报告后，应立即向应急救援总指挥、副总指挥报告并按指令启动应急救援预案。</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3、负责传达指挥部总指挥指令，及时通知应急救援专业队伍成员迅速进行集合。</w:t>
      </w:r>
    </w:p>
    <w:p>
      <w:pPr>
        <w:widowControl w:val="0"/>
        <w:wordWrap/>
        <w:adjustRightInd/>
        <w:snapToGrid w:val="0"/>
        <w:spacing w:before="0" w:beforeAutospacing="0" w:line="360" w:lineRule="auto"/>
        <w:ind w:left="0"/>
        <w:textAlignment w:val="auto"/>
        <w:outlineLvl w:val="9"/>
        <w:rPr>
          <w:rFonts w:hint="default" w:ascii="Times New Roman" w:hAnsi="Times New Roman" w:eastAsia="仿宋" w:cs="Times New Roman"/>
          <w:b/>
          <w:bCs/>
          <w:color w:val="auto"/>
          <w:sz w:val="28"/>
          <w:szCs w:val="28"/>
        </w:rPr>
      </w:pPr>
      <w:r>
        <w:rPr>
          <w:rFonts w:hint="eastAsia" w:ascii="Times New Roman" w:hAnsi="Times New Roman" w:eastAsia="仿宋" w:cs="Times New Roman"/>
          <w:b/>
          <w:bCs/>
          <w:color w:val="auto"/>
          <w:sz w:val="28"/>
          <w:szCs w:val="28"/>
        </w:rPr>
        <w:t>4</w:t>
      </w:r>
      <w:r>
        <w:rPr>
          <w:rFonts w:hint="default" w:ascii="Times New Roman" w:hAnsi="Times New Roman" w:eastAsia="仿宋" w:cs="Times New Roman"/>
          <w:b/>
          <w:bCs/>
          <w:color w:val="auto"/>
          <w:sz w:val="28"/>
          <w:szCs w:val="28"/>
        </w:rPr>
        <w:t>.2.</w:t>
      </w:r>
      <w:r>
        <w:rPr>
          <w:rFonts w:hint="eastAsia" w:ascii="Times New Roman" w:hAnsi="Times New Roman" w:eastAsia="仿宋" w:cs="Times New Roman"/>
          <w:b/>
          <w:bCs/>
          <w:color w:val="auto"/>
          <w:sz w:val="28"/>
          <w:szCs w:val="28"/>
        </w:rPr>
        <w:t xml:space="preserve">2.6 </w:t>
      </w:r>
      <w:r>
        <w:rPr>
          <w:rFonts w:hint="default" w:ascii="Times New Roman" w:hAnsi="Times New Roman" w:eastAsia="仿宋" w:cs="Times New Roman"/>
          <w:b/>
          <w:bCs/>
          <w:color w:val="auto"/>
          <w:sz w:val="28"/>
          <w:szCs w:val="28"/>
        </w:rPr>
        <w:t>抢险救援组</w:t>
      </w:r>
      <w:r>
        <w:rPr>
          <w:rFonts w:hint="eastAsia" w:ascii="Times New Roman" w:hAnsi="Times New Roman" w:eastAsia="仿宋" w:cs="Times New Roman"/>
          <w:b/>
          <w:bCs/>
          <w:color w:val="auto"/>
          <w:sz w:val="28"/>
          <w:szCs w:val="28"/>
        </w:rPr>
        <w:t>职责</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1、启动应急响应后，在较短时间内到达事故地点，佩戴有效的个人防护用品，负责深入事故发生区域对火灾、泄漏等事故利用专业器材进行灭火、堵漏等任务，以减少事故损失。</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2、将受伤人员抢救到安全地带。</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3、负责事故应急结束后的现场洗消。</w:t>
      </w:r>
    </w:p>
    <w:p>
      <w:pPr>
        <w:widowControl w:val="0"/>
        <w:wordWrap/>
        <w:adjustRightInd/>
        <w:snapToGrid w:val="0"/>
        <w:spacing w:before="0" w:beforeAutospacing="0" w:line="360" w:lineRule="auto"/>
        <w:ind w:left="0"/>
        <w:textAlignment w:val="auto"/>
        <w:outlineLvl w:val="9"/>
        <w:rPr>
          <w:rFonts w:hint="default" w:ascii="Times New Roman" w:hAnsi="Times New Roman" w:eastAsia="仿宋" w:cs="Times New Roman"/>
          <w:b/>
          <w:bCs/>
          <w:color w:val="auto"/>
          <w:sz w:val="28"/>
          <w:szCs w:val="28"/>
        </w:rPr>
      </w:pPr>
      <w:r>
        <w:rPr>
          <w:rFonts w:hint="eastAsia" w:ascii="Times New Roman" w:hAnsi="Times New Roman" w:eastAsia="仿宋" w:cs="Times New Roman"/>
          <w:b/>
          <w:bCs/>
          <w:color w:val="auto"/>
          <w:sz w:val="28"/>
          <w:szCs w:val="28"/>
        </w:rPr>
        <w:t>4</w:t>
      </w:r>
      <w:r>
        <w:rPr>
          <w:rFonts w:hint="default" w:ascii="Times New Roman" w:hAnsi="Times New Roman" w:eastAsia="仿宋" w:cs="Times New Roman"/>
          <w:b/>
          <w:bCs/>
          <w:color w:val="auto"/>
          <w:sz w:val="28"/>
          <w:szCs w:val="28"/>
        </w:rPr>
        <w:t>.2.</w:t>
      </w:r>
      <w:r>
        <w:rPr>
          <w:rFonts w:hint="eastAsia" w:ascii="Times New Roman" w:hAnsi="Times New Roman" w:eastAsia="仿宋" w:cs="Times New Roman"/>
          <w:b/>
          <w:bCs/>
          <w:color w:val="auto"/>
          <w:sz w:val="28"/>
          <w:szCs w:val="28"/>
        </w:rPr>
        <w:t>2</w:t>
      </w:r>
      <w:r>
        <w:rPr>
          <w:rFonts w:hint="default" w:ascii="Times New Roman" w:hAnsi="Times New Roman" w:eastAsia="仿宋" w:cs="Times New Roman"/>
          <w:b/>
          <w:bCs/>
          <w:color w:val="auto"/>
          <w:sz w:val="28"/>
          <w:szCs w:val="28"/>
        </w:rPr>
        <w:t>.</w:t>
      </w:r>
      <w:r>
        <w:rPr>
          <w:rFonts w:hint="eastAsia" w:ascii="Times New Roman" w:hAnsi="Times New Roman" w:eastAsia="仿宋" w:cs="Times New Roman"/>
          <w:b/>
          <w:bCs/>
          <w:color w:val="auto"/>
          <w:sz w:val="28"/>
          <w:szCs w:val="28"/>
        </w:rPr>
        <w:t xml:space="preserve">7 </w:t>
      </w:r>
      <w:r>
        <w:rPr>
          <w:rFonts w:hint="default" w:ascii="Times New Roman" w:hAnsi="Times New Roman" w:eastAsia="仿宋" w:cs="Times New Roman"/>
          <w:b/>
          <w:bCs/>
          <w:color w:val="auto"/>
          <w:sz w:val="28"/>
          <w:szCs w:val="28"/>
        </w:rPr>
        <w:t>通讯联络组职责</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1、启动应急响应后，迅速通知公司各个应急救援小组赶往事故现场，简要说明事故地点、类型和事故大小。</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2、负责保持指挥部和各个应急救援小组之间的信息通畅。</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3、负责同消防、医院等外部救援单位的通讯联络。</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4、当事故有可能波及到公司外部时，及时向周边其他单位、居民区进行事故通报，说明事故地点、事故类型及事故大小。</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5、负责将抢救出来的受伤人员进行简单急救，并护送伤员到附近医院。</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zh-CN"/>
        </w:rPr>
        <w:t>6、积极稳妥、深入细致地做好善后处置工作。经请示公司领导后，按照公司有关规定，对事故中的伤亡人员给予抚恤、照顾。</w:t>
      </w:r>
    </w:p>
    <w:p>
      <w:pPr>
        <w:widowControl w:val="0"/>
        <w:wordWrap/>
        <w:adjustRightInd/>
        <w:snapToGrid w:val="0"/>
        <w:spacing w:before="0" w:beforeAutospacing="0" w:line="360" w:lineRule="auto"/>
        <w:ind w:left="0"/>
        <w:textAlignment w:val="auto"/>
        <w:outlineLvl w:val="9"/>
        <w:rPr>
          <w:rFonts w:hint="default" w:ascii="Times New Roman" w:hAnsi="Times New Roman" w:eastAsia="仿宋" w:cs="Times New Roman"/>
          <w:b/>
          <w:bCs/>
          <w:color w:val="auto"/>
          <w:sz w:val="28"/>
          <w:szCs w:val="28"/>
        </w:rPr>
      </w:pPr>
      <w:r>
        <w:rPr>
          <w:rFonts w:hint="eastAsia" w:ascii="Times New Roman" w:hAnsi="Times New Roman" w:eastAsia="仿宋" w:cs="Times New Roman"/>
          <w:b/>
          <w:bCs/>
          <w:color w:val="auto"/>
          <w:sz w:val="28"/>
          <w:szCs w:val="28"/>
        </w:rPr>
        <w:t>4</w:t>
      </w:r>
      <w:r>
        <w:rPr>
          <w:rFonts w:hint="default" w:ascii="Times New Roman" w:hAnsi="Times New Roman" w:eastAsia="仿宋" w:cs="Times New Roman"/>
          <w:b/>
          <w:bCs/>
          <w:color w:val="auto"/>
          <w:sz w:val="28"/>
          <w:szCs w:val="28"/>
        </w:rPr>
        <w:t>.2.</w:t>
      </w:r>
      <w:r>
        <w:rPr>
          <w:rFonts w:hint="eastAsia" w:ascii="Times New Roman" w:hAnsi="Times New Roman" w:eastAsia="仿宋" w:cs="Times New Roman"/>
          <w:b/>
          <w:bCs/>
          <w:color w:val="auto"/>
          <w:sz w:val="28"/>
          <w:szCs w:val="28"/>
        </w:rPr>
        <w:t>2</w:t>
      </w:r>
      <w:r>
        <w:rPr>
          <w:rFonts w:hint="default" w:ascii="Times New Roman" w:hAnsi="Times New Roman" w:eastAsia="仿宋" w:cs="Times New Roman"/>
          <w:b/>
          <w:bCs/>
          <w:color w:val="auto"/>
          <w:sz w:val="28"/>
          <w:szCs w:val="28"/>
        </w:rPr>
        <w:t>.</w:t>
      </w:r>
      <w:r>
        <w:rPr>
          <w:rFonts w:hint="eastAsia" w:ascii="Times New Roman" w:hAnsi="Times New Roman" w:eastAsia="仿宋" w:cs="Times New Roman"/>
          <w:b/>
          <w:bCs/>
          <w:color w:val="auto"/>
          <w:sz w:val="28"/>
          <w:szCs w:val="28"/>
        </w:rPr>
        <w:t xml:space="preserve">8 </w:t>
      </w:r>
      <w:r>
        <w:rPr>
          <w:rFonts w:hint="eastAsia" w:ascii="Times New Roman" w:hAnsi="Times New Roman" w:eastAsia="仿宋" w:cs="Times New Roman"/>
          <w:b/>
          <w:bCs/>
          <w:color w:val="auto"/>
          <w:sz w:val="28"/>
          <w:szCs w:val="28"/>
          <w:lang w:eastAsia="zh-CN"/>
        </w:rPr>
        <w:t>医疗保障</w:t>
      </w:r>
      <w:r>
        <w:rPr>
          <w:rFonts w:hint="default" w:ascii="Times New Roman" w:hAnsi="Times New Roman" w:eastAsia="仿宋" w:cs="Times New Roman"/>
          <w:b/>
          <w:bCs/>
          <w:color w:val="auto"/>
          <w:sz w:val="28"/>
          <w:szCs w:val="28"/>
        </w:rPr>
        <w:t>组职责</w:t>
      </w:r>
    </w:p>
    <w:p>
      <w:pPr>
        <w:widowControl w:val="0"/>
        <w:wordWrap/>
        <w:adjustRightInd/>
        <w:snapToGrid w:val="0"/>
        <w:spacing w:beforeAutospacing="0" w:line="240" w:lineRule="auto"/>
        <w:ind w:firstLine="560" w:firstLineChars="200"/>
        <w:textAlignment w:val="auto"/>
        <w:outlineLvl w:val="9"/>
        <w:rPr>
          <w:rFonts w:ascii="宋体" w:hAnsi="宋体"/>
          <w:color w:val="auto"/>
          <w:sz w:val="28"/>
          <w:szCs w:val="28"/>
        </w:rPr>
      </w:pPr>
      <w:r>
        <w:rPr>
          <w:rFonts w:hint="eastAsia" w:ascii="仿宋" w:hAnsi="仿宋" w:eastAsia="仿宋"/>
          <w:color w:val="auto"/>
          <w:kern w:val="0"/>
          <w:sz w:val="28"/>
          <w:szCs w:val="28"/>
        </w:rPr>
        <w:t>场紧急救护及一般性伤病的治疗，在第一时间给予受伤人员及时救护，有效避免伤情进一步加重，减少人员伤亡</w:t>
      </w:r>
      <w:r>
        <w:rPr>
          <w:rFonts w:ascii="宋体" w:hAnsi="宋体"/>
          <w:color w:val="auto"/>
          <w:sz w:val="28"/>
          <w:szCs w:val="28"/>
        </w:rPr>
        <w:t>。</w:t>
      </w:r>
    </w:p>
    <w:p>
      <w:pPr>
        <w:widowControl w:val="0"/>
        <w:wordWrap/>
        <w:adjustRightInd/>
        <w:snapToGrid w:val="0"/>
        <w:spacing w:before="0" w:beforeAutospacing="0" w:line="360" w:lineRule="auto"/>
        <w:ind w:left="0"/>
        <w:textAlignment w:val="auto"/>
        <w:outlineLvl w:val="9"/>
        <w:rPr>
          <w:rFonts w:hint="eastAsia" w:ascii="Times New Roman" w:hAnsi="Times New Roman" w:eastAsia="仿宋" w:cs="Times New Roman"/>
          <w:b/>
          <w:bCs/>
          <w:color w:val="auto"/>
          <w:sz w:val="28"/>
          <w:szCs w:val="28"/>
        </w:rPr>
      </w:pPr>
      <w:r>
        <w:rPr>
          <w:rFonts w:hint="eastAsia" w:ascii="Times New Roman" w:hAnsi="Times New Roman" w:eastAsia="仿宋" w:cs="Times New Roman"/>
          <w:b/>
          <w:bCs/>
          <w:color w:val="auto"/>
          <w:sz w:val="28"/>
          <w:szCs w:val="28"/>
        </w:rPr>
        <w:t xml:space="preserve">4.2.2.9 </w:t>
      </w:r>
      <w:r>
        <w:rPr>
          <w:rFonts w:hint="default" w:ascii="Times New Roman" w:hAnsi="Times New Roman" w:eastAsia="仿宋" w:cs="Times New Roman"/>
          <w:b/>
          <w:bCs/>
          <w:color w:val="auto"/>
          <w:sz w:val="28"/>
          <w:szCs w:val="28"/>
          <w:lang w:val="zh-CN"/>
        </w:rPr>
        <w:t>应急保障组</w:t>
      </w:r>
    </w:p>
    <w:p>
      <w:pPr>
        <w:widowControl w:val="0"/>
        <w:wordWrap/>
        <w:adjustRightInd/>
        <w:snapToGrid w:val="0"/>
        <w:spacing w:beforeAutospacing="0" w:line="240" w:lineRule="auto"/>
        <w:ind w:firstLine="560" w:firstLineChars="200"/>
        <w:textAlignment w:val="auto"/>
        <w:outlineLvl w:val="9"/>
        <w:rPr>
          <w:rFonts w:hint="default" w:ascii="Times New Roman" w:hAnsi="Times New Roman" w:eastAsia="仿宋" w:cs="Times New Roman"/>
          <w:color w:val="auto"/>
          <w:kern w:val="0"/>
          <w:sz w:val="28"/>
          <w:szCs w:val="28"/>
          <w:lang w:val="zh-CN"/>
        </w:rPr>
      </w:pPr>
      <w:r>
        <w:rPr>
          <w:rFonts w:hint="default" w:ascii="Times New Roman" w:hAnsi="Times New Roman" w:eastAsia="仿宋" w:cs="Times New Roman"/>
          <w:color w:val="auto"/>
          <w:sz w:val="28"/>
          <w:szCs w:val="28"/>
          <w:lang w:val="zh-CN"/>
        </w:rPr>
        <w:t>1</w:t>
      </w:r>
      <w:r>
        <w:rPr>
          <w:rFonts w:hint="default" w:ascii="Times New Roman" w:hAnsi="Times New Roman" w:eastAsia="仿宋" w:cs="Times New Roman"/>
          <w:color w:val="auto"/>
          <w:kern w:val="0"/>
          <w:sz w:val="28"/>
          <w:szCs w:val="28"/>
          <w:lang w:val="zh-CN"/>
        </w:rPr>
        <w:t>、负责应急救援物资的日常维护和保管。</w:t>
      </w:r>
    </w:p>
    <w:p>
      <w:pPr>
        <w:widowControl w:val="0"/>
        <w:wordWrap/>
        <w:adjustRightInd/>
        <w:snapToGrid w:val="0"/>
        <w:spacing w:beforeAutospacing="0" w:line="240" w:lineRule="auto"/>
        <w:ind w:firstLine="560" w:firstLineChars="200"/>
        <w:textAlignment w:val="auto"/>
        <w:outlineLvl w:val="9"/>
        <w:rPr>
          <w:rFonts w:hint="default" w:ascii="Times New Roman" w:hAnsi="Times New Roman" w:eastAsia="仿宋" w:cs="Times New Roman"/>
          <w:color w:val="auto"/>
          <w:kern w:val="0"/>
          <w:sz w:val="28"/>
          <w:szCs w:val="28"/>
          <w:lang w:val="zh-CN"/>
        </w:rPr>
      </w:pPr>
      <w:r>
        <w:rPr>
          <w:rFonts w:hint="default" w:ascii="Times New Roman" w:hAnsi="Times New Roman" w:eastAsia="仿宋" w:cs="Times New Roman"/>
          <w:color w:val="auto"/>
          <w:kern w:val="0"/>
          <w:sz w:val="28"/>
          <w:szCs w:val="28"/>
          <w:lang w:val="zh-CN"/>
        </w:rPr>
        <w:t>2、启动应急响应后，迅速到达现场，根据现场需要为各个应急救援小组提供应急救援物资。</w:t>
      </w:r>
    </w:p>
    <w:p>
      <w:pPr>
        <w:widowControl w:val="0"/>
        <w:wordWrap/>
        <w:adjustRightInd/>
        <w:snapToGrid w:val="0"/>
        <w:spacing w:beforeAutospacing="0" w:line="240" w:lineRule="auto"/>
        <w:ind w:firstLine="560" w:firstLineChars="200"/>
        <w:textAlignment w:val="auto"/>
        <w:outlineLvl w:val="9"/>
        <w:rPr>
          <w:rFonts w:hint="eastAsia" w:ascii="仿宋" w:hAnsi="仿宋" w:eastAsia="仿宋"/>
          <w:color w:val="auto"/>
          <w:kern w:val="0"/>
          <w:sz w:val="28"/>
          <w:szCs w:val="28"/>
          <w:lang w:val="zh-CN"/>
        </w:rPr>
      </w:pPr>
      <w:r>
        <w:rPr>
          <w:rFonts w:hint="default" w:ascii="Times New Roman" w:hAnsi="Times New Roman" w:eastAsia="仿宋" w:cs="Times New Roman"/>
          <w:color w:val="auto"/>
          <w:kern w:val="0"/>
          <w:sz w:val="28"/>
          <w:szCs w:val="28"/>
          <w:lang w:val="zh-CN"/>
        </w:rPr>
        <w:t>3、将应急救援物资及时送往事故现场。</w:t>
      </w:r>
    </w:p>
    <w:p>
      <w:pPr>
        <w:spacing w:line="360" w:lineRule="auto"/>
        <w:jc w:val="left"/>
        <w:outlineLvl w:val="1"/>
        <w:rPr>
          <w:rFonts w:hint="default" w:ascii="Times New Roman" w:hAnsi="Times New Roman" w:eastAsia="仿宋" w:cs="Times New Roman"/>
          <w:b/>
          <w:bCs/>
          <w:color w:val="auto"/>
          <w:sz w:val="30"/>
          <w:szCs w:val="30"/>
          <w:lang w:val="en-US" w:eastAsia="zh-CN"/>
        </w:rPr>
      </w:pPr>
      <w:bookmarkStart w:id="240" w:name="_Toc16566"/>
      <w:bookmarkStart w:id="241" w:name="_Toc465385659"/>
      <w:bookmarkStart w:id="242" w:name="_Toc24081"/>
      <w:bookmarkStart w:id="243" w:name="_Toc15546"/>
      <w:bookmarkStart w:id="244" w:name="_Toc14614_WPSOffice_Level2"/>
      <w:bookmarkStart w:id="245" w:name="_Toc20110"/>
      <w:r>
        <w:rPr>
          <w:rFonts w:hint="default" w:ascii="Times New Roman" w:hAnsi="Times New Roman" w:eastAsia="仿宋" w:cs="Times New Roman"/>
          <w:b/>
          <w:bCs/>
          <w:color w:val="auto"/>
          <w:sz w:val="30"/>
          <w:szCs w:val="30"/>
          <w:lang w:val="en-US" w:eastAsia="zh-CN"/>
        </w:rPr>
        <w:t>4.3地方机构及职责</w:t>
      </w:r>
      <w:bookmarkEnd w:id="240"/>
      <w:bookmarkEnd w:id="241"/>
      <w:bookmarkEnd w:id="242"/>
      <w:bookmarkEnd w:id="243"/>
      <w:bookmarkEnd w:id="244"/>
      <w:bookmarkEnd w:id="245"/>
    </w:p>
    <w:p>
      <w:pPr>
        <w:widowControl w:val="0"/>
        <w:wordWrap/>
        <w:adjustRightInd/>
        <w:snapToGrid w:val="0"/>
        <w:spacing w:beforeAutospacing="0" w:line="240" w:lineRule="auto"/>
        <w:ind w:firstLine="560" w:firstLineChars="200"/>
        <w:textAlignment w:val="auto"/>
        <w:outlineLvl w:val="9"/>
        <w:rPr>
          <w:rFonts w:hint="eastAsia" w:ascii="仿宋" w:hAnsi="仿宋" w:eastAsia="仿宋"/>
          <w:color w:val="auto"/>
          <w:kern w:val="0"/>
          <w:sz w:val="28"/>
          <w:szCs w:val="28"/>
          <w:lang w:val="en-US" w:eastAsia="zh-CN"/>
        </w:rPr>
      </w:pPr>
      <w:r>
        <w:rPr>
          <w:rFonts w:hint="eastAsia" w:ascii="仿宋" w:hAnsi="仿宋" w:eastAsia="仿宋"/>
          <w:color w:val="auto"/>
          <w:kern w:val="0"/>
          <w:sz w:val="28"/>
          <w:szCs w:val="28"/>
          <w:lang w:val="en-US" w:eastAsia="zh-CN"/>
        </w:rPr>
        <w:t>在本企业完全具备独立组织应急救援的能力，需要依托周边企业及相关政府机构时，以下是周边可以依托的机构及其联系方式：</w:t>
      </w:r>
    </w:p>
    <w:p>
      <w:pPr>
        <w:widowControl w:val="0"/>
        <w:wordWrap/>
        <w:adjustRightInd/>
        <w:snapToGrid w:val="0"/>
        <w:spacing w:beforeAutospacing="0" w:line="240" w:lineRule="auto"/>
        <w:ind w:firstLine="560" w:firstLineChars="200"/>
        <w:textAlignment w:val="auto"/>
        <w:outlineLvl w:val="9"/>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消防站：119</w:t>
      </w:r>
    </w:p>
    <w:p>
      <w:pPr>
        <w:widowControl w:val="0"/>
        <w:wordWrap/>
        <w:adjustRightInd/>
        <w:snapToGrid w:val="0"/>
        <w:spacing w:beforeAutospacing="0" w:line="240" w:lineRule="auto"/>
        <w:ind w:firstLine="560" w:firstLineChars="200"/>
        <w:textAlignment w:val="auto"/>
        <w:outlineLvl w:val="9"/>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派出所：110</w:t>
      </w:r>
    </w:p>
    <w:p>
      <w:pPr>
        <w:widowControl w:val="0"/>
        <w:wordWrap/>
        <w:adjustRightInd/>
        <w:snapToGrid w:val="0"/>
        <w:spacing w:beforeAutospacing="0" w:line="240" w:lineRule="auto"/>
        <w:ind w:firstLine="560" w:firstLineChars="200"/>
        <w:textAlignment w:val="auto"/>
        <w:outlineLvl w:val="9"/>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医院：120</w:t>
      </w:r>
    </w:p>
    <w:p>
      <w:pPr>
        <w:spacing w:line="360" w:lineRule="auto"/>
        <w:jc w:val="left"/>
        <w:outlineLvl w:val="1"/>
        <w:rPr>
          <w:rFonts w:hint="eastAsia" w:ascii="Times New Roman" w:hAnsi="Times New Roman" w:eastAsia="仿宋" w:cs="Times New Roman"/>
          <w:b/>
          <w:bCs/>
          <w:color w:val="auto"/>
          <w:sz w:val="30"/>
          <w:szCs w:val="30"/>
          <w:lang w:val="en-US" w:eastAsia="zh-CN"/>
        </w:rPr>
      </w:pPr>
      <w:bookmarkStart w:id="246" w:name="_Toc1413"/>
      <w:r>
        <w:rPr>
          <w:rFonts w:hint="default" w:ascii="Times New Roman" w:hAnsi="Times New Roman" w:eastAsia="仿宋" w:cs="Times New Roman"/>
          <w:b/>
          <w:bCs/>
          <w:color w:val="auto"/>
          <w:sz w:val="30"/>
          <w:szCs w:val="30"/>
          <w:lang w:val="en-US" w:eastAsia="zh-CN"/>
        </w:rPr>
        <w:t>4.</w:t>
      </w:r>
      <w:r>
        <w:rPr>
          <w:rFonts w:hint="eastAsia" w:ascii="Times New Roman" w:hAnsi="Times New Roman" w:eastAsia="仿宋" w:cs="Times New Roman"/>
          <w:b/>
          <w:bCs/>
          <w:color w:val="auto"/>
          <w:sz w:val="30"/>
          <w:szCs w:val="30"/>
          <w:lang w:val="en-US" w:eastAsia="zh-CN"/>
        </w:rPr>
        <w:t>4内部应急救援通讯联络</w:t>
      </w:r>
      <w:bookmarkEnd w:id="246"/>
    </w:p>
    <w:p>
      <w:pPr>
        <w:snapToGrid w:val="0"/>
        <w:spacing w:line="50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sz w:val="24"/>
          <w:szCs w:val="24"/>
        </w:rPr>
        <w:t>表</w:t>
      </w:r>
      <w:r>
        <w:rPr>
          <w:rFonts w:hint="default" w:ascii="Times New Roman" w:hAnsi="Times New Roman" w:eastAsia="仿宋" w:cs="Times New Roman"/>
          <w:b/>
          <w:bCs/>
          <w:color w:val="auto"/>
          <w:sz w:val="24"/>
          <w:szCs w:val="24"/>
          <w:lang w:val="en-US" w:eastAsia="zh-CN"/>
        </w:rPr>
        <w:t>4.4</w:t>
      </w:r>
      <w:r>
        <w:rPr>
          <w:rFonts w:hint="default" w:ascii="Times New Roman" w:hAnsi="Times New Roman" w:eastAsia="仿宋" w:cs="Times New Roman"/>
          <w:b/>
          <w:bCs/>
          <w:color w:val="auto"/>
          <w:sz w:val="24"/>
          <w:szCs w:val="24"/>
        </w:rPr>
        <w:t>-1</w:t>
      </w:r>
      <w:r>
        <w:rPr>
          <w:rFonts w:hint="default" w:ascii="Times New Roman" w:hAnsi="Times New Roman" w:eastAsia="仿宋" w:cs="Times New Roman"/>
          <w:b/>
          <w:bCs/>
          <w:color w:val="auto"/>
          <w:kern w:val="0"/>
          <w:sz w:val="24"/>
          <w:szCs w:val="24"/>
        </w:rPr>
        <w:t>应急救援组成人员及联系方式</w:t>
      </w:r>
    </w:p>
    <w:tbl>
      <w:tblPr>
        <w:tblStyle w:val="21"/>
        <w:tblW w:w="9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1882"/>
        <w:gridCol w:w="1649"/>
        <w:gridCol w:w="2452"/>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639" w:type="dxa"/>
            <w:gridSpan w:val="2"/>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应急</w:t>
            </w:r>
            <w:r>
              <w:rPr>
                <w:rFonts w:hint="default" w:ascii="Times New Roman" w:hAnsi="Times New Roman" w:eastAsia="仿宋" w:cs="Times New Roman"/>
                <w:color w:val="auto"/>
                <w:sz w:val="21"/>
                <w:szCs w:val="21"/>
                <w:lang w:eastAsia="zh-CN"/>
              </w:rPr>
              <w:t>岗位</w:t>
            </w:r>
          </w:p>
        </w:tc>
        <w:tc>
          <w:tcPr>
            <w:tcW w:w="1649"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姓名</w:t>
            </w:r>
          </w:p>
        </w:tc>
        <w:tc>
          <w:tcPr>
            <w:tcW w:w="245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职位</w:t>
            </w:r>
          </w:p>
        </w:tc>
        <w:tc>
          <w:tcPr>
            <w:tcW w:w="1938"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639" w:type="dxa"/>
            <w:gridSpan w:val="2"/>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总指挥</w:t>
            </w:r>
          </w:p>
        </w:tc>
        <w:tc>
          <w:tcPr>
            <w:tcW w:w="1649"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王爱军</w:t>
            </w:r>
          </w:p>
        </w:tc>
        <w:tc>
          <w:tcPr>
            <w:tcW w:w="245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总经理</w:t>
            </w:r>
          </w:p>
        </w:tc>
        <w:tc>
          <w:tcPr>
            <w:tcW w:w="1938" w:type="dxa"/>
            <w:vAlign w:val="center"/>
          </w:tcPr>
          <w:p>
            <w:pPr>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13952186458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639" w:type="dxa"/>
            <w:gridSpan w:val="2"/>
            <w:vMerge w:val="restart"/>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副总指挥</w:t>
            </w:r>
          </w:p>
        </w:tc>
        <w:tc>
          <w:tcPr>
            <w:tcW w:w="1649"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黄立军</w:t>
            </w:r>
          </w:p>
        </w:tc>
        <w:tc>
          <w:tcPr>
            <w:tcW w:w="245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副总经理</w:t>
            </w:r>
          </w:p>
        </w:tc>
        <w:tc>
          <w:tcPr>
            <w:tcW w:w="1938" w:type="dxa"/>
            <w:vAlign w:val="center"/>
          </w:tcPr>
          <w:p>
            <w:pPr>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13852041875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639" w:type="dxa"/>
            <w:gridSpan w:val="2"/>
            <w:vMerge w:val="continue"/>
            <w:vAlign w:val="center"/>
          </w:tcPr>
          <w:p>
            <w:pPr>
              <w:spacing w:line="240" w:lineRule="auto"/>
              <w:jc w:val="center"/>
              <w:rPr>
                <w:rFonts w:hint="default" w:ascii="Times New Roman" w:hAnsi="Times New Roman" w:eastAsia="仿宋" w:cs="Times New Roman"/>
                <w:color w:val="auto"/>
                <w:sz w:val="21"/>
                <w:szCs w:val="21"/>
                <w:lang w:eastAsia="zh-CN"/>
              </w:rPr>
            </w:pPr>
          </w:p>
        </w:tc>
        <w:tc>
          <w:tcPr>
            <w:tcW w:w="1649" w:type="dxa"/>
            <w:vAlign w:val="center"/>
          </w:tcPr>
          <w:p>
            <w:pPr>
              <w:spacing w:line="240" w:lineRule="auto"/>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乔亮</w:t>
            </w:r>
          </w:p>
        </w:tc>
        <w:tc>
          <w:tcPr>
            <w:tcW w:w="2452" w:type="dxa"/>
            <w:vAlign w:val="center"/>
          </w:tcPr>
          <w:p>
            <w:pPr>
              <w:spacing w:line="240" w:lineRule="auto"/>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副总经理</w:t>
            </w:r>
          </w:p>
        </w:tc>
        <w:tc>
          <w:tcPr>
            <w:tcW w:w="1938" w:type="dxa"/>
            <w:vAlign w:val="center"/>
          </w:tcPr>
          <w:p>
            <w:pPr>
              <w:spacing w:line="240" w:lineRule="auto"/>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13605202328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639" w:type="dxa"/>
            <w:gridSpan w:val="2"/>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应急办公室主任</w:t>
            </w:r>
          </w:p>
        </w:tc>
        <w:tc>
          <w:tcPr>
            <w:tcW w:w="1649"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闫德仲</w:t>
            </w:r>
          </w:p>
        </w:tc>
        <w:tc>
          <w:tcPr>
            <w:tcW w:w="245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副总经理</w:t>
            </w:r>
          </w:p>
        </w:tc>
        <w:tc>
          <w:tcPr>
            <w:tcW w:w="1938" w:type="dxa"/>
            <w:vAlign w:val="center"/>
          </w:tcPr>
          <w:p>
            <w:pPr>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13905208578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57" w:type="dxa"/>
            <w:vMerge w:val="restart"/>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抢险救援组</w:t>
            </w:r>
          </w:p>
        </w:tc>
        <w:tc>
          <w:tcPr>
            <w:tcW w:w="188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组长</w:t>
            </w:r>
          </w:p>
        </w:tc>
        <w:tc>
          <w:tcPr>
            <w:tcW w:w="1649"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王若臣</w:t>
            </w:r>
          </w:p>
        </w:tc>
        <w:tc>
          <w:tcPr>
            <w:tcW w:w="245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生产部经理</w:t>
            </w:r>
          </w:p>
        </w:tc>
        <w:tc>
          <w:tcPr>
            <w:tcW w:w="1938" w:type="dxa"/>
            <w:vAlign w:val="center"/>
          </w:tcPr>
          <w:p>
            <w:pPr>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15240491675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57" w:type="dxa"/>
            <w:vMerge w:val="continue"/>
            <w:vAlign w:val="center"/>
          </w:tcPr>
          <w:p>
            <w:pPr>
              <w:spacing w:line="240" w:lineRule="auto"/>
              <w:jc w:val="center"/>
              <w:rPr>
                <w:rFonts w:hint="default" w:ascii="Times New Roman" w:hAnsi="Times New Roman" w:eastAsia="仿宋" w:cs="Times New Roman"/>
                <w:color w:val="auto"/>
                <w:sz w:val="21"/>
                <w:szCs w:val="21"/>
                <w:lang w:eastAsia="zh-CN"/>
              </w:rPr>
            </w:pPr>
          </w:p>
        </w:tc>
        <w:tc>
          <w:tcPr>
            <w:tcW w:w="188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组员</w:t>
            </w:r>
          </w:p>
        </w:tc>
        <w:tc>
          <w:tcPr>
            <w:tcW w:w="1649"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黄庆</w:t>
            </w:r>
          </w:p>
        </w:tc>
        <w:tc>
          <w:tcPr>
            <w:tcW w:w="245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生产部副经理</w:t>
            </w:r>
          </w:p>
        </w:tc>
        <w:tc>
          <w:tcPr>
            <w:tcW w:w="1938" w:type="dxa"/>
            <w:vAlign w:val="center"/>
          </w:tcPr>
          <w:p>
            <w:pPr>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15150948490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57" w:type="dxa"/>
            <w:vMerge w:val="continue"/>
            <w:vAlign w:val="center"/>
          </w:tcPr>
          <w:p>
            <w:pPr>
              <w:spacing w:line="240" w:lineRule="auto"/>
              <w:jc w:val="center"/>
              <w:rPr>
                <w:rFonts w:hint="default" w:ascii="Times New Roman" w:hAnsi="Times New Roman" w:eastAsia="仿宋" w:cs="Times New Roman"/>
                <w:color w:val="auto"/>
                <w:sz w:val="21"/>
                <w:szCs w:val="21"/>
                <w:lang w:eastAsia="zh-CN"/>
              </w:rPr>
            </w:pPr>
          </w:p>
        </w:tc>
        <w:tc>
          <w:tcPr>
            <w:tcW w:w="188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组员</w:t>
            </w:r>
          </w:p>
        </w:tc>
        <w:tc>
          <w:tcPr>
            <w:tcW w:w="1649"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李北京</w:t>
            </w:r>
          </w:p>
        </w:tc>
        <w:tc>
          <w:tcPr>
            <w:tcW w:w="245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生产管理员</w:t>
            </w:r>
          </w:p>
        </w:tc>
        <w:tc>
          <w:tcPr>
            <w:tcW w:w="1938" w:type="dxa"/>
            <w:vAlign w:val="center"/>
          </w:tcPr>
          <w:p>
            <w:pPr>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13382683229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57" w:type="dxa"/>
            <w:vMerge w:val="restart"/>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医疗保障组</w:t>
            </w:r>
          </w:p>
        </w:tc>
        <w:tc>
          <w:tcPr>
            <w:tcW w:w="188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组长</w:t>
            </w:r>
          </w:p>
        </w:tc>
        <w:tc>
          <w:tcPr>
            <w:tcW w:w="1649"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童媛</w:t>
            </w:r>
          </w:p>
        </w:tc>
        <w:tc>
          <w:tcPr>
            <w:tcW w:w="245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行政部经理</w:t>
            </w:r>
          </w:p>
        </w:tc>
        <w:tc>
          <w:tcPr>
            <w:tcW w:w="1938" w:type="dxa"/>
            <w:vAlign w:val="center"/>
          </w:tcPr>
          <w:p>
            <w:pPr>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15150079997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57" w:type="dxa"/>
            <w:vMerge w:val="continue"/>
            <w:vAlign w:val="center"/>
          </w:tcPr>
          <w:p>
            <w:pPr>
              <w:spacing w:line="240" w:lineRule="auto"/>
              <w:jc w:val="center"/>
              <w:rPr>
                <w:rFonts w:hint="default" w:ascii="Times New Roman" w:hAnsi="Times New Roman" w:eastAsia="仿宋" w:cs="Times New Roman"/>
                <w:color w:val="auto"/>
                <w:sz w:val="21"/>
                <w:szCs w:val="21"/>
                <w:lang w:eastAsia="zh-CN"/>
              </w:rPr>
            </w:pPr>
          </w:p>
        </w:tc>
        <w:tc>
          <w:tcPr>
            <w:tcW w:w="188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组员</w:t>
            </w:r>
          </w:p>
        </w:tc>
        <w:tc>
          <w:tcPr>
            <w:tcW w:w="1649"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高维良</w:t>
            </w:r>
          </w:p>
        </w:tc>
        <w:tc>
          <w:tcPr>
            <w:tcW w:w="245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行政部副经理</w:t>
            </w:r>
          </w:p>
        </w:tc>
        <w:tc>
          <w:tcPr>
            <w:tcW w:w="1938" w:type="dxa"/>
            <w:vAlign w:val="center"/>
          </w:tcPr>
          <w:p>
            <w:pPr>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13852065988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57" w:type="dxa"/>
            <w:vMerge w:val="continue"/>
            <w:vAlign w:val="center"/>
          </w:tcPr>
          <w:p>
            <w:pPr>
              <w:spacing w:line="240" w:lineRule="auto"/>
              <w:jc w:val="center"/>
              <w:rPr>
                <w:rFonts w:hint="default" w:ascii="Times New Roman" w:hAnsi="Times New Roman" w:eastAsia="仿宋" w:cs="Times New Roman"/>
                <w:color w:val="auto"/>
                <w:sz w:val="21"/>
                <w:szCs w:val="21"/>
                <w:lang w:eastAsia="zh-CN"/>
              </w:rPr>
            </w:pPr>
          </w:p>
        </w:tc>
        <w:tc>
          <w:tcPr>
            <w:tcW w:w="188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组员</w:t>
            </w:r>
          </w:p>
        </w:tc>
        <w:tc>
          <w:tcPr>
            <w:tcW w:w="1649"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佟玲</w:t>
            </w:r>
          </w:p>
        </w:tc>
        <w:tc>
          <w:tcPr>
            <w:tcW w:w="2452" w:type="dxa"/>
            <w:vAlign w:val="center"/>
          </w:tcPr>
          <w:p>
            <w:pPr>
              <w:spacing w:line="240" w:lineRule="auto"/>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eastAsia="zh-CN"/>
              </w:rPr>
              <w:t>行政助理</w:t>
            </w:r>
          </w:p>
        </w:tc>
        <w:tc>
          <w:tcPr>
            <w:tcW w:w="1938" w:type="dxa"/>
            <w:vAlign w:val="center"/>
          </w:tcPr>
          <w:p>
            <w:pPr>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15996949712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57" w:type="dxa"/>
            <w:vMerge w:val="restart"/>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通讯联络组</w:t>
            </w:r>
          </w:p>
        </w:tc>
        <w:tc>
          <w:tcPr>
            <w:tcW w:w="188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组长</w:t>
            </w:r>
          </w:p>
        </w:tc>
        <w:tc>
          <w:tcPr>
            <w:tcW w:w="1649"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佟莉</w:t>
            </w:r>
          </w:p>
        </w:tc>
        <w:tc>
          <w:tcPr>
            <w:tcW w:w="2452" w:type="dxa"/>
            <w:vAlign w:val="center"/>
          </w:tcPr>
          <w:p>
            <w:pPr>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技术部经理</w:t>
            </w:r>
          </w:p>
        </w:tc>
        <w:tc>
          <w:tcPr>
            <w:tcW w:w="1938" w:type="dxa"/>
            <w:vAlign w:val="center"/>
          </w:tcPr>
          <w:p>
            <w:pPr>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13852143551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57" w:type="dxa"/>
            <w:vMerge w:val="continue"/>
            <w:vAlign w:val="center"/>
          </w:tcPr>
          <w:p>
            <w:pPr>
              <w:spacing w:line="240" w:lineRule="auto"/>
              <w:jc w:val="center"/>
              <w:rPr>
                <w:rFonts w:hint="default" w:ascii="Times New Roman" w:hAnsi="Times New Roman" w:eastAsia="仿宋" w:cs="Times New Roman"/>
                <w:color w:val="auto"/>
                <w:sz w:val="21"/>
                <w:szCs w:val="21"/>
                <w:lang w:eastAsia="zh-CN"/>
              </w:rPr>
            </w:pPr>
          </w:p>
        </w:tc>
        <w:tc>
          <w:tcPr>
            <w:tcW w:w="188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组员</w:t>
            </w:r>
          </w:p>
        </w:tc>
        <w:tc>
          <w:tcPr>
            <w:tcW w:w="1649"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张计新</w:t>
            </w:r>
          </w:p>
        </w:tc>
        <w:tc>
          <w:tcPr>
            <w:tcW w:w="245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实验室主任</w:t>
            </w:r>
          </w:p>
        </w:tc>
        <w:tc>
          <w:tcPr>
            <w:tcW w:w="1938" w:type="dxa"/>
            <w:vAlign w:val="center"/>
          </w:tcPr>
          <w:p>
            <w:pPr>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15205143195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57" w:type="dxa"/>
            <w:vMerge w:val="continue"/>
            <w:vAlign w:val="center"/>
          </w:tcPr>
          <w:p>
            <w:pPr>
              <w:spacing w:line="240" w:lineRule="auto"/>
              <w:jc w:val="center"/>
              <w:rPr>
                <w:rFonts w:hint="default" w:ascii="Times New Roman" w:hAnsi="Times New Roman" w:eastAsia="仿宋" w:cs="Times New Roman"/>
                <w:color w:val="auto"/>
                <w:sz w:val="21"/>
                <w:szCs w:val="21"/>
                <w:lang w:eastAsia="zh-CN"/>
              </w:rPr>
            </w:pPr>
          </w:p>
        </w:tc>
        <w:tc>
          <w:tcPr>
            <w:tcW w:w="188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组员</w:t>
            </w:r>
          </w:p>
        </w:tc>
        <w:tc>
          <w:tcPr>
            <w:tcW w:w="1649"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孙海北</w:t>
            </w:r>
          </w:p>
        </w:tc>
        <w:tc>
          <w:tcPr>
            <w:tcW w:w="245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实验主管</w:t>
            </w:r>
          </w:p>
        </w:tc>
        <w:tc>
          <w:tcPr>
            <w:tcW w:w="1938" w:type="dxa"/>
            <w:vAlign w:val="center"/>
          </w:tcPr>
          <w:p>
            <w:pPr>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15852318439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57" w:type="dxa"/>
            <w:vMerge w:val="restart"/>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应急保障组</w:t>
            </w:r>
          </w:p>
        </w:tc>
        <w:tc>
          <w:tcPr>
            <w:tcW w:w="188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组长</w:t>
            </w:r>
          </w:p>
        </w:tc>
        <w:tc>
          <w:tcPr>
            <w:tcW w:w="1649" w:type="dxa"/>
            <w:vAlign w:val="center"/>
          </w:tcPr>
          <w:p>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eastAsia="zh-CN"/>
              </w:rPr>
              <w:t>杲伟锋</w:t>
            </w:r>
          </w:p>
        </w:tc>
        <w:tc>
          <w:tcPr>
            <w:tcW w:w="2452" w:type="dxa"/>
            <w:vAlign w:val="center"/>
          </w:tcPr>
          <w:p>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eastAsia="zh-CN"/>
              </w:rPr>
              <w:t>采购部经理</w:t>
            </w:r>
          </w:p>
        </w:tc>
        <w:tc>
          <w:tcPr>
            <w:tcW w:w="1938" w:type="dxa"/>
            <w:vAlign w:val="center"/>
          </w:tcPr>
          <w:p>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15189465375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57" w:type="dxa"/>
            <w:vMerge w:val="continue"/>
            <w:vAlign w:val="center"/>
          </w:tcPr>
          <w:p>
            <w:pPr>
              <w:spacing w:line="240" w:lineRule="auto"/>
              <w:jc w:val="center"/>
              <w:rPr>
                <w:rFonts w:hint="default" w:ascii="Times New Roman" w:hAnsi="Times New Roman" w:eastAsia="仿宋" w:cs="Times New Roman"/>
                <w:color w:val="auto"/>
                <w:sz w:val="21"/>
                <w:szCs w:val="21"/>
                <w:lang w:eastAsia="zh-CN"/>
              </w:rPr>
            </w:pPr>
          </w:p>
        </w:tc>
        <w:tc>
          <w:tcPr>
            <w:tcW w:w="188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组员</w:t>
            </w:r>
          </w:p>
        </w:tc>
        <w:tc>
          <w:tcPr>
            <w:tcW w:w="1649" w:type="dxa"/>
            <w:vAlign w:val="center"/>
          </w:tcPr>
          <w:p>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eastAsia="zh-CN"/>
              </w:rPr>
              <w:t>刘治中</w:t>
            </w:r>
          </w:p>
        </w:tc>
        <w:tc>
          <w:tcPr>
            <w:tcW w:w="2452" w:type="dxa"/>
            <w:vAlign w:val="center"/>
          </w:tcPr>
          <w:p>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eastAsia="zh-CN"/>
              </w:rPr>
              <w:t>采购助理</w:t>
            </w:r>
          </w:p>
        </w:tc>
        <w:tc>
          <w:tcPr>
            <w:tcW w:w="1938" w:type="dxa"/>
            <w:vAlign w:val="center"/>
          </w:tcPr>
          <w:p>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lang w:val="en-US" w:eastAsia="zh-CN"/>
              </w:rPr>
              <w:t>15996915209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57" w:type="dxa"/>
            <w:vMerge w:val="continue"/>
            <w:vAlign w:val="center"/>
          </w:tcPr>
          <w:p>
            <w:pPr>
              <w:spacing w:line="240" w:lineRule="auto"/>
              <w:jc w:val="center"/>
              <w:rPr>
                <w:rFonts w:hint="default" w:ascii="Times New Roman" w:hAnsi="Times New Roman" w:eastAsia="仿宋" w:cs="Times New Roman"/>
                <w:color w:val="auto"/>
                <w:sz w:val="21"/>
                <w:szCs w:val="21"/>
                <w:lang w:eastAsia="zh-CN"/>
              </w:rPr>
            </w:pPr>
          </w:p>
        </w:tc>
        <w:tc>
          <w:tcPr>
            <w:tcW w:w="188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组员</w:t>
            </w:r>
          </w:p>
        </w:tc>
        <w:tc>
          <w:tcPr>
            <w:tcW w:w="1649" w:type="dxa"/>
            <w:vAlign w:val="center"/>
          </w:tcPr>
          <w:p>
            <w:pPr>
              <w:spacing w:line="240" w:lineRule="auto"/>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张晟铭</w:t>
            </w:r>
          </w:p>
        </w:tc>
        <w:tc>
          <w:tcPr>
            <w:tcW w:w="2452"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采购助理</w:t>
            </w:r>
          </w:p>
        </w:tc>
        <w:tc>
          <w:tcPr>
            <w:tcW w:w="1938" w:type="dxa"/>
            <w:vAlign w:val="center"/>
          </w:tcPr>
          <w:p>
            <w:pPr>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18952234660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639" w:type="dxa"/>
            <w:gridSpan w:val="2"/>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24小时应急电话</w:t>
            </w:r>
            <w:r>
              <w:rPr>
                <w:rFonts w:hint="default" w:ascii="Times New Roman" w:hAnsi="Times New Roman" w:eastAsia="仿宋" w:cs="Times New Roman"/>
                <w:color w:val="auto"/>
                <w:sz w:val="21"/>
                <w:szCs w:val="21"/>
                <w:lang w:val="en-US" w:eastAsia="zh-CN"/>
              </w:rPr>
              <w:t>(固话)</w:t>
            </w:r>
          </w:p>
        </w:tc>
        <w:tc>
          <w:tcPr>
            <w:tcW w:w="6039" w:type="dxa"/>
            <w:gridSpan w:val="3"/>
            <w:vAlign w:val="center"/>
          </w:tcPr>
          <w:p>
            <w:pPr>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0516-69850385</w:t>
            </w:r>
          </w:p>
        </w:tc>
      </w:tr>
    </w:tbl>
    <w:p>
      <w:pPr>
        <w:widowControl/>
        <w:wordWrap/>
        <w:adjustRightInd/>
        <w:snapToGrid w:val="0"/>
        <w:spacing w:beforeAutospacing="0" w:line="360" w:lineRule="auto"/>
        <w:ind w:left="0" w:firstLine="560" w:firstLineChars="200"/>
        <w:jc w:val="left"/>
        <w:textAlignment w:val="auto"/>
        <w:rPr>
          <w:rFonts w:hint="default" w:ascii="Times New Roman" w:hAnsi="Times New Roman" w:eastAsia="仿宋" w:cs="Times New Roman"/>
          <w:color w:val="auto"/>
          <w:kern w:val="2"/>
          <w:sz w:val="28"/>
          <w:szCs w:val="28"/>
          <w:lang w:val="en-US" w:eastAsia="zh-CN" w:bidi="ar-SA"/>
        </w:rPr>
      </w:pPr>
    </w:p>
    <w:p>
      <w:pPr>
        <w:pStyle w:val="4"/>
        <w:widowControl w:val="0"/>
        <w:wordWrap/>
        <w:adjustRightInd/>
        <w:snapToGrid w:val="0"/>
        <w:spacing w:before="0" w:beforeAutospacing="0" w:line="360" w:lineRule="auto"/>
        <w:ind w:left="0"/>
        <w:textAlignment w:val="auto"/>
        <w:outlineLvl w:val="0"/>
        <w:rPr>
          <w:rFonts w:hint="eastAsia" w:ascii="Times New Roman" w:hAnsi="Times New Roman" w:eastAsia="仿宋" w:cs="Times New Roman"/>
          <w:b/>
          <w:bCs/>
          <w:color w:val="auto"/>
          <w:sz w:val="32"/>
          <w:szCs w:val="32"/>
        </w:rPr>
      </w:pPr>
      <w:bookmarkStart w:id="247" w:name="_Toc525292670"/>
      <w:bookmarkStart w:id="248" w:name="_Toc28695"/>
      <w:bookmarkStart w:id="249" w:name="_Toc516651847"/>
      <w:r>
        <w:rPr>
          <w:rFonts w:hint="eastAsia" w:ascii="Times New Roman" w:hAnsi="Times New Roman" w:eastAsia="仿宋" w:cs="Times New Roman"/>
          <w:b/>
          <w:bCs/>
          <w:color w:val="auto"/>
          <w:sz w:val="32"/>
          <w:szCs w:val="32"/>
        </w:rPr>
        <w:t>5预防与预警</w:t>
      </w:r>
      <w:bookmarkEnd w:id="247"/>
      <w:bookmarkEnd w:id="248"/>
      <w:bookmarkEnd w:id="249"/>
    </w:p>
    <w:p>
      <w:pPr>
        <w:pStyle w:val="5"/>
        <w:widowControl w:val="0"/>
        <w:wordWrap/>
        <w:adjustRightInd/>
        <w:snapToGrid w:val="0"/>
        <w:spacing w:before="0" w:beforeAutospacing="0" w:line="360" w:lineRule="auto"/>
        <w:ind w:left="0"/>
        <w:textAlignment w:val="auto"/>
        <w:rPr>
          <w:rFonts w:hint="default" w:ascii="Times New Roman" w:hAnsi="Times New Roman" w:eastAsia="仿宋" w:cs="Times New Roman"/>
          <w:b/>
          <w:bCs/>
          <w:color w:val="auto"/>
          <w:sz w:val="30"/>
          <w:szCs w:val="30"/>
        </w:rPr>
      </w:pPr>
      <w:bookmarkStart w:id="250" w:name="_Toc22381"/>
      <w:bookmarkStart w:id="251" w:name="_Toc525292671"/>
      <w:bookmarkStart w:id="252" w:name="_Toc516651848"/>
      <w:r>
        <w:rPr>
          <w:rFonts w:hint="default" w:ascii="Times New Roman" w:hAnsi="Times New Roman" w:eastAsia="仿宋" w:cs="Times New Roman"/>
          <w:b/>
          <w:bCs/>
          <w:color w:val="auto"/>
          <w:sz w:val="30"/>
          <w:szCs w:val="30"/>
        </w:rPr>
        <w:t>5.1环境风险源监控</w:t>
      </w:r>
      <w:bookmarkEnd w:id="250"/>
      <w:bookmarkEnd w:id="251"/>
      <w:bookmarkEnd w:id="252"/>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eastAsia="zh-CN"/>
        </w:rPr>
      </w:pPr>
      <w:r>
        <w:rPr>
          <w:rFonts w:hint="eastAsia" w:ascii="Times New Roman" w:hAnsi="Times New Roman" w:eastAsia="仿宋" w:cs="Times New Roman"/>
          <w:color w:val="auto"/>
          <w:sz w:val="28"/>
          <w:szCs w:val="28"/>
          <w:lang w:eastAsia="zh-CN"/>
        </w:rPr>
        <w:t>在风险源场区设置明显的安全警示标志，并对风险源的工艺参数、风险物质进行定期检测，对重要设备、设施按照有关主管单位规定进行经常性的检测、检验，并做好记录。</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eastAsia="zh-CN"/>
        </w:rPr>
      </w:pPr>
      <w:r>
        <w:rPr>
          <w:rFonts w:hint="eastAsia" w:ascii="Times New Roman" w:hAnsi="Times New Roman" w:eastAsia="仿宋" w:cs="Times New Roman"/>
          <w:color w:val="auto"/>
          <w:sz w:val="28"/>
          <w:szCs w:val="28"/>
          <w:lang w:eastAsia="zh-CN"/>
        </w:rPr>
        <w:t>可燃区域严格控制动火作业；使用的电气装置采用防爆型装置。在罐区、生产车间和化学品仓库设置烟雾报警仪。岗位员工定期对所有设施进行一次全面检查，严禁无关人员进入。</w:t>
      </w:r>
    </w:p>
    <w:p>
      <w:pPr>
        <w:pStyle w:val="5"/>
        <w:widowControl w:val="0"/>
        <w:wordWrap/>
        <w:adjustRightInd/>
        <w:snapToGrid w:val="0"/>
        <w:spacing w:beforeLines="50" w:beforeAutospacing="0" w:afterLines="50" w:line="240" w:lineRule="auto"/>
        <w:ind w:left="0"/>
        <w:textAlignment w:val="auto"/>
        <w:rPr>
          <w:rFonts w:hint="eastAsia" w:ascii="Times New Roman" w:hAnsi="Times New Roman" w:eastAsia="仿宋" w:cs="Times New Roman"/>
          <w:b/>
          <w:bCs/>
          <w:color w:val="auto"/>
          <w:sz w:val="30"/>
          <w:szCs w:val="30"/>
        </w:rPr>
      </w:pPr>
      <w:bookmarkStart w:id="253" w:name="_Toc516651850"/>
      <w:bookmarkStart w:id="254" w:name="_Toc27639"/>
      <w:r>
        <w:rPr>
          <w:rFonts w:hint="eastAsia" w:ascii="Times New Roman" w:hAnsi="Times New Roman" w:eastAsia="仿宋" w:cs="Times New Roman"/>
          <w:b/>
          <w:bCs/>
          <w:color w:val="auto"/>
          <w:sz w:val="30"/>
          <w:szCs w:val="30"/>
        </w:rPr>
        <w:t>5.2预防措施</w:t>
      </w:r>
      <w:bookmarkEnd w:id="253"/>
      <w:bookmarkEnd w:id="254"/>
    </w:p>
    <w:p>
      <w:pPr>
        <w:snapToGrid w:val="0"/>
        <w:spacing w:line="240" w:lineRule="auto"/>
        <w:ind w:firstLine="562" w:firstLineChars="200"/>
        <w:rPr>
          <w:rFonts w:hint="eastAsia" w:ascii="Times New Roman" w:hAnsi="Times New Roman" w:eastAsia="仿宋" w:cs="Times New Roman"/>
          <w:b/>
          <w:bCs/>
          <w:color w:val="auto"/>
          <w:sz w:val="28"/>
          <w:szCs w:val="28"/>
          <w:lang w:val="zh-CN"/>
        </w:rPr>
      </w:pPr>
      <w:r>
        <w:rPr>
          <w:rFonts w:hint="eastAsia" w:ascii="Times New Roman" w:hAnsi="Times New Roman" w:eastAsia="仿宋" w:cs="Times New Roman"/>
          <w:b/>
          <w:bCs/>
          <w:color w:val="auto"/>
          <w:sz w:val="28"/>
          <w:szCs w:val="28"/>
          <w:lang w:val="zh-CN"/>
        </w:rPr>
        <w:t>1、</w:t>
      </w:r>
      <w:r>
        <w:rPr>
          <w:rFonts w:hint="eastAsia" w:ascii="Times New Roman" w:hAnsi="Times New Roman" w:eastAsia="仿宋" w:cs="Times New Roman"/>
          <w:b/>
          <w:bCs/>
          <w:color w:val="auto"/>
          <w:sz w:val="28"/>
          <w:szCs w:val="28"/>
          <w:lang w:val="en-US" w:eastAsia="zh-CN"/>
        </w:rPr>
        <w:t>选址、总图布置和建筑风险防范措施</w:t>
      </w:r>
    </w:p>
    <w:p>
      <w:pPr>
        <w:snapToGrid w:val="0"/>
        <w:spacing w:line="240" w:lineRule="auto"/>
        <w:ind w:firstLine="560" w:firstLineChars="200"/>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en-US" w:eastAsia="zh-CN"/>
        </w:rPr>
        <w:t xml:space="preserve">项目位于贾汪化工产业园区内，根据本项目的物料性质和毒性，参照相关的毒物、危险物处理手册，采取相应的防范应急措施： </w:t>
      </w:r>
    </w:p>
    <w:p>
      <w:pPr>
        <w:snapToGrid w:val="0"/>
        <w:spacing w:line="240" w:lineRule="auto"/>
        <w:ind w:firstLine="560" w:firstLineChars="200"/>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1</w:t>
      </w:r>
      <w:r>
        <w:rPr>
          <w:rFonts w:hint="eastAsia" w:ascii="Times New Roman" w:hAnsi="Times New Roman" w:eastAsia="仿宋" w:cs="Times New Roman"/>
          <w:color w:val="auto"/>
          <w:sz w:val="28"/>
          <w:szCs w:val="28"/>
          <w:lang w:val="en-US" w:eastAsia="zh-CN"/>
        </w:rPr>
        <w:t xml:space="preserve">）厂区总平面布置应根据功能分区布置，各功能区之间设有环形通道，有利于安全疏散和消防。 </w:t>
      </w:r>
    </w:p>
    <w:p>
      <w:pPr>
        <w:snapToGrid w:val="0"/>
        <w:spacing w:line="240" w:lineRule="auto"/>
        <w:ind w:firstLine="560" w:firstLineChars="200"/>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2</w:t>
      </w:r>
      <w:r>
        <w:rPr>
          <w:rFonts w:hint="eastAsia" w:ascii="Times New Roman" w:hAnsi="Times New Roman" w:eastAsia="仿宋" w:cs="Times New Roman"/>
          <w:color w:val="auto"/>
          <w:sz w:val="28"/>
          <w:szCs w:val="28"/>
          <w:lang w:val="en-US" w:eastAsia="zh-CN"/>
        </w:rPr>
        <w:t xml:space="preserve">）设计中按规范划分爆炸危险区域，在爆炸危险区域内选用防爆型电气、仪表及通信设备。各种易燃易爆物料均储存在阴凉、通风处，远离火源，避免与强氧化剂接触。 </w:t>
      </w:r>
    </w:p>
    <w:p>
      <w:pPr>
        <w:snapToGrid w:val="0"/>
        <w:spacing w:line="240" w:lineRule="auto"/>
        <w:ind w:firstLine="560" w:firstLineChars="200"/>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3</w:t>
      </w:r>
      <w:r>
        <w:rPr>
          <w:rFonts w:hint="eastAsia" w:ascii="Times New Roman" w:hAnsi="Times New Roman" w:eastAsia="仿宋" w:cs="Times New Roman"/>
          <w:color w:val="auto"/>
          <w:sz w:val="28"/>
          <w:szCs w:val="28"/>
          <w:lang w:val="en-US" w:eastAsia="zh-CN"/>
        </w:rPr>
        <w:t xml:space="preserve">）安放易发生爆炸设备的房间，不允许任何人员随便入内，操作全部在控制室进行。 </w:t>
      </w:r>
    </w:p>
    <w:p>
      <w:pPr>
        <w:snapToGrid w:val="0"/>
        <w:spacing w:line="240" w:lineRule="auto"/>
        <w:ind w:firstLine="560" w:firstLineChars="200"/>
        <w:rPr>
          <w:rFonts w:hint="eastAsia" w:ascii="Times New Roman" w:hAnsi="Times New Roman" w:eastAsia="仿宋" w:cs="Times New Roman"/>
          <w:color w:val="auto"/>
          <w:sz w:val="28"/>
          <w:szCs w:val="28"/>
          <w:lang w:val="zh-CN"/>
        </w:rPr>
      </w:pP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4</w:t>
      </w:r>
      <w:r>
        <w:rPr>
          <w:rFonts w:hint="eastAsia" w:ascii="Times New Roman" w:hAnsi="Times New Roman" w:eastAsia="仿宋" w:cs="Times New Roman"/>
          <w:color w:val="auto"/>
          <w:sz w:val="28"/>
          <w:szCs w:val="28"/>
          <w:lang w:val="en-US" w:eastAsia="zh-CN"/>
        </w:rPr>
        <w:t>）建立完善的消防设施，包括高压水消防系统、火灾报警系统等</w:t>
      </w:r>
    </w:p>
    <w:p>
      <w:pPr>
        <w:snapToGrid w:val="0"/>
        <w:spacing w:line="240" w:lineRule="auto"/>
        <w:ind w:firstLine="562" w:firstLineChars="200"/>
        <w:rPr>
          <w:rFonts w:hint="eastAsia" w:ascii="Times New Roman" w:hAnsi="Times New Roman" w:eastAsia="仿宋" w:cs="Times New Roman"/>
          <w:b/>
          <w:bCs/>
          <w:color w:val="auto"/>
          <w:sz w:val="28"/>
          <w:szCs w:val="28"/>
          <w:lang w:val="en-US" w:eastAsia="zh-CN"/>
        </w:rPr>
      </w:pPr>
      <w:r>
        <w:rPr>
          <w:rFonts w:hint="eastAsia" w:ascii="Times New Roman" w:hAnsi="Times New Roman" w:eastAsia="仿宋" w:cs="Times New Roman"/>
          <w:b/>
          <w:bCs/>
          <w:color w:val="auto"/>
          <w:sz w:val="28"/>
          <w:szCs w:val="28"/>
          <w:lang w:val="zh-CN" w:eastAsia="zh-CN"/>
        </w:rPr>
        <w:t>2、</w:t>
      </w:r>
      <w:r>
        <w:rPr>
          <w:rFonts w:hint="eastAsia" w:ascii="Times New Roman" w:hAnsi="Times New Roman" w:eastAsia="仿宋" w:cs="Times New Roman"/>
          <w:b/>
          <w:bCs/>
          <w:color w:val="auto"/>
          <w:sz w:val="28"/>
          <w:szCs w:val="28"/>
          <w:lang w:val="en-US" w:eastAsia="zh-CN"/>
        </w:rPr>
        <w:t>危险化学品管理、储存、使用、运输中的防范措施</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1</w:t>
      </w:r>
      <w:r>
        <w:rPr>
          <w:rFonts w:hint="eastAsia" w:ascii="Times New Roman" w:hAnsi="Times New Roman" w:eastAsia="仿宋" w:cs="Times New Roman"/>
          <w:color w:val="auto"/>
          <w:sz w:val="28"/>
          <w:szCs w:val="28"/>
          <w:lang w:val="en-US" w:eastAsia="zh-CN"/>
        </w:rPr>
        <w:t>）严格按《危险化学品安全管理条例》的要求，加强对危险化学品的管理；制定危险化学品安全操作规程，要求操作人员严格按操作规程作业；对从事危险化学作业人员定期进行安全培训教育；经常性对危险化学品作业场所进行安全检查。</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2</w:t>
      </w:r>
      <w:r>
        <w:rPr>
          <w:rFonts w:hint="eastAsia" w:ascii="Times New Roman" w:hAnsi="Times New Roman" w:eastAsia="仿宋" w:cs="Times New Roman"/>
          <w:color w:val="auto"/>
          <w:sz w:val="28"/>
          <w:szCs w:val="28"/>
          <w:lang w:val="en-US" w:eastAsia="zh-CN"/>
        </w:rPr>
        <w:t>）设立专用库区，使其符合储存危险化学品的相关条件（如防晒、防潮、通风、防雷、防静电等），实施危险化学品的储存和使用；建立健全安全规程及值勤制度，设置通讯、报警装置，确保其处于完好状态；对储存危险化学品的容器，应经有关检验部门定期检验合格后，才能使用，并设置明显的标识及警示牌；对使用危险化学品的名称、数量进行严格登记；凡储存、使用危险化学品的岗位，都应配置合格的防毒器材、消防器材，并确保其处于完好状态；所有进入储存、使用危险化学品的人员，都必须严格遵守《危险化学品管理制度》</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3</w:t>
      </w:r>
      <w:r>
        <w:rPr>
          <w:rFonts w:hint="eastAsia" w:ascii="Times New Roman" w:hAnsi="Times New Roman" w:eastAsia="仿宋" w:cs="Times New Roman"/>
          <w:color w:val="auto"/>
          <w:sz w:val="28"/>
          <w:szCs w:val="28"/>
          <w:lang w:val="en-US" w:eastAsia="zh-CN"/>
        </w:rPr>
        <w:t>）采购危险化学品时，应到已获得危险化学品经营许可证的企业进行采购，并要求供应商提供技术说明书及相关技术资料；采购人员必须进行专业培训并取证；危险化学品的包装物、容器必须有专业检测机构检验合格才能使用；从事危险化学品运输、押运人员，应经有关培训并取证后才能从事危险化学品运输、押运工作；运输危险化学品的车应悬挂危险化学品标志不得在人口稠密地停留；危险化学品的运输、押运人员，应配置合格的防护器材。</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4</w:t>
      </w:r>
      <w:r>
        <w:rPr>
          <w:rFonts w:hint="eastAsia" w:ascii="Times New Roman" w:hAnsi="Times New Roman" w:eastAsia="仿宋" w:cs="Times New Roman"/>
          <w:color w:val="auto"/>
          <w:sz w:val="28"/>
          <w:szCs w:val="28"/>
          <w:lang w:val="en-US" w:eastAsia="zh-CN"/>
        </w:rPr>
        <w:t>）对于运输有毒有害的化学品的车辆和装卸机械，必须符合交通部《汽车危险货物运输规则》（</w:t>
      </w:r>
      <w:r>
        <w:rPr>
          <w:rFonts w:hint="default" w:ascii="Times New Roman" w:hAnsi="Times New Roman" w:eastAsia="仿宋" w:cs="Times New Roman"/>
          <w:color w:val="auto"/>
          <w:sz w:val="28"/>
          <w:szCs w:val="28"/>
          <w:lang w:val="en-US" w:eastAsia="zh-CN"/>
        </w:rPr>
        <w:t>JI3130</w:t>
      </w:r>
      <w:r>
        <w:rPr>
          <w:rFonts w:hint="eastAsia" w:ascii="Times New Roman" w:hAnsi="Times New Roman" w:eastAsia="仿宋" w:cs="Times New Roman"/>
          <w:color w:val="auto"/>
          <w:sz w:val="28"/>
          <w:szCs w:val="28"/>
          <w:lang w:val="en-US" w:eastAsia="zh-CN"/>
        </w:rPr>
        <w:t>）规定的条件，并经过道路运输管理机关审验合格。汽车排气管必须装有有效的隔热和熄灭火星的装置，电路系统有切断总电源和隔离电火花的装置；车辆左前方必须悬挂</w:t>
      </w:r>
      <w:r>
        <w:rPr>
          <w:rFonts w:hint="default" w:ascii="Times New Roman" w:hAnsi="Times New Roman" w:eastAsia="仿宋" w:cs="Times New Roman"/>
          <w:color w:val="auto"/>
          <w:sz w:val="28"/>
          <w:szCs w:val="28"/>
          <w:lang w:val="en-US" w:eastAsia="zh-CN"/>
        </w:rPr>
        <w:t>“</w:t>
      </w:r>
      <w:r>
        <w:rPr>
          <w:rFonts w:hint="eastAsia" w:ascii="Times New Roman" w:hAnsi="Times New Roman" w:eastAsia="仿宋" w:cs="Times New Roman"/>
          <w:color w:val="auto"/>
          <w:sz w:val="28"/>
          <w:szCs w:val="28"/>
          <w:lang w:val="en-US" w:eastAsia="zh-CN"/>
        </w:rPr>
        <w:t>危险品</w:t>
      </w:r>
      <w:r>
        <w:rPr>
          <w:rFonts w:hint="default" w:ascii="Times New Roman" w:hAnsi="Times New Roman" w:eastAsia="仿宋" w:cs="Times New Roman"/>
          <w:color w:val="auto"/>
          <w:sz w:val="28"/>
          <w:szCs w:val="28"/>
          <w:lang w:val="en-US" w:eastAsia="zh-CN"/>
        </w:rPr>
        <w:t>”</w:t>
      </w:r>
      <w:r>
        <w:rPr>
          <w:rFonts w:hint="eastAsia" w:ascii="Times New Roman" w:hAnsi="Times New Roman" w:eastAsia="仿宋" w:cs="Times New Roman"/>
          <w:color w:val="auto"/>
          <w:sz w:val="28"/>
          <w:szCs w:val="28"/>
          <w:lang w:val="en-US" w:eastAsia="zh-CN"/>
        </w:rPr>
        <w:t>字样的标志；车上应配有相应的消防器材；槽车及其设备必须符合相关要求；装卸机械等必须有足够的安全系数，必须有消除火花的措施等。</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5</w:t>
      </w:r>
      <w:r>
        <w:rPr>
          <w:rFonts w:hint="eastAsia" w:ascii="Times New Roman" w:hAnsi="Times New Roman" w:eastAsia="仿宋" w:cs="Times New Roman"/>
          <w:color w:val="auto"/>
          <w:sz w:val="28"/>
          <w:szCs w:val="28"/>
          <w:lang w:val="en-US" w:eastAsia="zh-CN"/>
        </w:rPr>
        <w:t>）运输车辆在运输途中必须严格遵守交通、安全、消防的法规，运行时控制车速，保持与前车的合理距离，严禁违规超车，确保行车安全；危险品运输车辆不得在居民区和行人稠密地段、政府机关、名胜古迹等敏感地段停车，临时停车必须经当地公安部门同意并采取安全措施。</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6</w:t>
      </w:r>
      <w:r>
        <w:rPr>
          <w:rFonts w:hint="eastAsia" w:ascii="Times New Roman" w:hAnsi="Times New Roman" w:eastAsia="仿宋" w:cs="Times New Roman"/>
          <w:color w:val="auto"/>
          <w:sz w:val="28"/>
          <w:szCs w:val="28"/>
          <w:lang w:val="en-US" w:eastAsia="zh-CN"/>
        </w:rPr>
        <w:t>）对于运输车辆驾驶人员应该了解运载物品的属性，并具备基本的救护常识，在发生意外燃烧、爆炸火泄露等事故的情况下，可以根据救护要求立即采取相应的措施，并及时向当地部门报告。</w:t>
      </w:r>
    </w:p>
    <w:p>
      <w:pPr>
        <w:snapToGrid w:val="0"/>
        <w:spacing w:line="240" w:lineRule="auto"/>
        <w:ind w:firstLine="562" w:firstLineChars="200"/>
        <w:rPr>
          <w:rFonts w:hint="eastAsia" w:ascii="Times New Roman" w:hAnsi="Times New Roman" w:eastAsia="仿宋" w:cs="Times New Roman"/>
          <w:b/>
          <w:bCs/>
          <w:color w:val="auto"/>
          <w:sz w:val="28"/>
          <w:szCs w:val="28"/>
          <w:lang w:val="en-US" w:eastAsia="zh-CN"/>
        </w:rPr>
      </w:pPr>
      <w:r>
        <w:rPr>
          <w:rFonts w:hint="eastAsia" w:ascii="Times New Roman" w:hAnsi="Times New Roman" w:eastAsia="仿宋" w:cs="Times New Roman"/>
          <w:b/>
          <w:bCs/>
          <w:color w:val="auto"/>
          <w:sz w:val="28"/>
          <w:szCs w:val="28"/>
          <w:lang w:val="en-US" w:eastAsia="zh-CN"/>
        </w:rPr>
        <w:t>3、建立安全生产制度</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公司应制订安全生产管理制度、安全操作规程和危险化学品储运方案等方面的程序文件和作业指导书，并严格按要求执行。按设计规范要求配备消防、环保、监控等安全环保设备和设施，并加强维护保养，确保设备设施的完好。</w:t>
      </w:r>
    </w:p>
    <w:p>
      <w:pPr>
        <w:snapToGrid w:val="0"/>
        <w:spacing w:line="240" w:lineRule="auto"/>
        <w:ind w:firstLine="562" w:firstLineChars="200"/>
        <w:rPr>
          <w:rFonts w:hint="eastAsia" w:ascii="Times New Roman" w:hAnsi="Times New Roman" w:eastAsia="仿宋" w:cs="Times New Roman"/>
          <w:b/>
          <w:bCs/>
          <w:color w:val="auto"/>
          <w:sz w:val="28"/>
          <w:szCs w:val="28"/>
          <w:lang w:val="en-US" w:eastAsia="zh-CN"/>
        </w:rPr>
      </w:pPr>
      <w:r>
        <w:rPr>
          <w:rFonts w:hint="default" w:ascii="Times New Roman" w:hAnsi="Times New Roman" w:eastAsia="仿宋" w:cs="Times New Roman"/>
          <w:b/>
          <w:bCs/>
          <w:color w:val="auto"/>
          <w:sz w:val="28"/>
          <w:szCs w:val="28"/>
          <w:lang w:val="en-US" w:eastAsia="zh-CN"/>
        </w:rPr>
        <w:t>4</w:t>
      </w:r>
      <w:r>
        <w:rPr>
          <w:rFonts w:hint="eastAsia" w:ascii="Times New Roman" w:hAnsi="Times New Roman" w:eastAsia="仿宋" w:cs="Times New Roman"/>
          <w:b/>
          <w:bCs/>
          <w:color w:val="auto"/>
          <w:sz w:val="28"/>
          <w:szCs w:val="28"/>
          <w:lang w:val="en-US" w:eastAsia="zh-CN"/>
        </w:rPr>
        <w:t xml:space="preserve">、尾气吸收装置故障预防措施 </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废气治理设施在设计、施工时，应严格按照工程设计规范进行，选用标准管材，保证焊缝质量及连接密封性；并做必要的防腐处理。严格岗位管理，保证尾气处理装置正常运行。加强治理设施的运行管理和日常维护，若发现尾气处理装置异常应立即停止生产并检查，找出原因及时维修。</w:t>
      </w:r>
    </w:p>
    <w:p>
      <w:pPr>
        <w:snapToGrid w:val="0"/>
        <w:spacing w:line="240" w:lineRule="auto"/>
        <w:ind w:firstLine="562" w:firstLineChars="200"/>
        <w:rPr>
          <w:rFonts w:hint="eastAsia" w:ascii="Times New Roman" w:hAnsi="Times New Roman" w:eastAsia="仿宋" w:cs="Times New Roman"/>
          <w:b/>
          <w:bCs/>
          <w:color w:val="auto"/>
          <w:sz w:val="28"/>
          <w:szCs w:val="28"/>
          <w:lang w:val="en-US" w:eastAsia="zh-CN"/>
        </w:rPr>
      </w:pPr>
      <w:r>
        <w:rPr>
          <w:rFonts w:hint="eastAsia" w:ascii="Times New Roman" w:hAnsi="Times New Roman" w:eastAsia="仿宋" w:cs="Times New Roman"/>
          <w:b/>
          <w:bCs/>
          <w:color w:val="auto"/>
          <w:sz w:val="28"/>
          <w:szCs w:val="28"/>
          <w:lang w:val="en-US" w:eastAsia="zh-CN"/>
        </w:rPr>
        <w:t xml:space="preserve">5、危废泄漏事故风险防范措施 </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为防止危废泄漏污染事故发生，企业危废暂存设施设计、施工须严格按照《危险废物贮存污染控制标准》（</w:t>
      </w:r>
      <w:r>
        <w:rPr>
          <w:rFonts w:hint="default" w:ascii="Times New Roman" w:hAnsi="Times New Roman" w:eastAsia="仿宋" w:cs="Times New Roman"/>
          <w:color w:val="auto"/>
          <w:sz w:val="28"/>
          <w:szCs w:val="28"/>
          <w:lang w:val="en-US" w:eastAsia="zh-CN"/>
        </w:rPr>
        <w:t>GB18597-2001</w:t>
      </w:r>
      <w:r>
        <w:rPr>
          <w:rFonts w:hint="eastAsia" w:ascii="Times New Roman" w:hAnsi="Times New Roman" w:eastAsia="仿宋" w:cs="Times New Roman"/>
          <w:color w:val="auto"/>
          <w:sz w:val="28"/>
          <w:szCs w:val="28"/>
          <w:lang w:val="en-US" w:eastAsia="zh-CN"/>
        </w:rPr>
        <w:t>）中相关规定，做好防风、防雨淋、防渗等措施。总贮存量不超过</w:t>
      </w:r>
      <w:r>
        <w:rPr>
          <w:rFonts w:hint="default" w:ascii="Times New Roman" w:hAnsi="Times New Roman" w:eastAsia="仿宋" w:cs="Times New Roman"/>
          <w:color w:val="auto"/>
          <w:sz w:val="28"/>
          <w:szCs w:val="28"/>
          <w:lang w:val="en-US" w:eastAsia="zh-CN"/>
        </w:rPr>
        <w:t>300Kg</w:t>
      </w: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L</w:t>
      </w:r>
      <w:r>
        <w:rPr>
          <w:rFonts w:hint="eastAsia" w:ascii="Times New Roman" w:hAnsi="Times New Roman" w:eastAsia="仿宋" w:cs="Times New Roman"/>
          <w:color w:val="auto"/>
          <w:sz w:val="28"/>
          <w:szCs w:val="28"/>
          <w:lang w:val="en-US" w:eastAsia="zh-CN"/>
        </w:rPr>
        <w:t>）的危险废物要放入符合标准的容器内，加上标签，容器放入坚固的柜或箱中，柜或箱应设多个直径不少于</w:t>
      </w:r>
      <w:r>
        <w:rPr>
          <w:rFonts w:hint="default" w:ascii="Times New Roman" w:hAnsi="Times New Roman" w:eastAsia="仿宋" w:cs="Times New Roman"/>
          <w:color w:val="auto"/>
          <w:sz w:val="28"/>
          <w:szCs w:val="28"/>
          <w:lang w:val="en-US" w:eastAsia="zh-CN"/>
        </w:rPr>
        <w:t>30mm</w:t>
      </w:r>
      <w:r>
        <w:rPr>
          <w:rFonts w:hint="eastAsia" w:ascii="Times New Roman" w:hAnsi="Times New Roman" w:eastAsia="仿宋" w:cs="Times New Roman"/>
          <w:color w:val="auto"/>
          <w:sz w:val="28"/>
          <w:szCs w:val="28"/>
          <w:lang w:val="en-US" w:eastAsia="zh-CN"/>
        </w:rPr>
        <w:t>的排气孔。同时，定期委托有资质单位转移、处置危险废物，缩短危险废物贮存时间。正常生产过程加强巡检，定期对危废暂存间工作人员进行培训，持证上岗。危废间附近设置应急物资，确保危废或其渗滤液泄漏后能及时进行收容，减小对土壤、地表水、地下水的污染。</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6</w:t>
      </w:r>
      <w:r>
        <w:rPr>
          <w:rFonts w:hint="eastAsia" w:ascii="Times New Roman" w:hAnsi="Times New Roman" w:eastAsia="仿宋" w:cs="Times New Roman"/>
          <w:color w:val="auto"/>
          <w:sz w:val="28"/>
          <w:szCs w:val="28"/>
          <w:lang w:val="en-US" w:eastAsia="zh-CN"/>
        </w:rPr>
        <w:t xml:space="preserve">、泄漏事故风险防范措施 </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（1）事故防范主要工艺设施要求 </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为了保证各物料仓储和使用安全，本项目各物料的存储条件和设施必须严格按照有关文件中的要求执行，并有严格的管理。 </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2）本项目总平面布置严格遵守国家颁布的有关防火和安全等方面规范和规定，在危险源布置方面，充分考虑厂内职工和厂外敏感目标的安全，一旦出现突发性事件时，对人员造成的伤害最小。采取主要罐区与生产装置区分离设置；在装置区内，控制室与生产设备保持适当距离；集中办公区与生产装置区分离；集中危险源罐区布置在非主导方向。可能散发可燃气体的工艺装置、罐区、装卸区设施，宜布置在人员集中场所及明火或散发火花地点的全年最小频率风向的下风侧。总平面布置要根据功能分区布置，各功能区，装置之间设环形通道，并与厂外道路相连，利于安全疏散和消防。 </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3）设置火灾自动报警系统。在有毒物料巯基丙酸、丙烯酸和可燃液体丙烯酸可能泄漏的场所，根据规范设置有毒气体检测仪或可燃气体检测仪，随时检测操作环境中有害气体的浓度，以便采取必要的处理设施。对因超温、超压可能引起火灾爆炸危险的设备，都设置自控检测仪表、报警信号及紧急泄压排放设施，以防操作失灵和紧急事故带来的设备超压。对控制系统的重要参数设置信号报警和联锁保护，对安全联锁系统的信号报警和可燃气体信号报警应外接闪光报警器。</w:t>
      </w:r>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在控制室内设有独立的紧急事故处理系统，该系统包含了重要安全信号报警系统以及紧急切断按钮操作台，可以实现在各个生产区或整个装置区的紧急停车。一旦发生事故，生产过程的异常数据将送至中央控制室，控制室的警报装置会提醒操作者对事故的发生发出应急反应，操作者可以启动控制中心操作台上的开关或按钮，打开事故停车系统，立即自动关闭生产装置、随时中断部分或整个系统的生产过程。</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仪表负荷、消防报警、关键设备等按一类负荷设置，采用不间断电源装置供电，事故照明采用带镉镍电池应急灯照明。根据装置原料及产品的特点，按《爆炸和火灾危险环境电力装置设置规范》选用电器设备。爆炸和火灾危险环境内可能产生静电的物体，如设备管道等都采用工业静电接地措施。建构筑物设有防直雷击、防雷电感应、防雷电浸入的设施。</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生产装置、贮罐区和仓储区等附近场所以及需要提醒人员注意的地点均按标准设置各种安全标志，凡需要迅速发现并引起注意以防止发生事故的场所、部位，均按要求涂安全色。</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车间、贮罐区、仓储区布置需通风良好，保证易燃、易爆和有毒物质迅速稀释和扩散。按规定划分危险区，保证防火防爆距离，车间周围设置地坎，罐区设置防火堤。采取以上措施后，可确保事故泄漏时，有毒物质能及时得到控制。厂区内建筑抗震结构按当地的地震基本烈度设计。</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若发生泄漏，则所有排液、排气均应尽可能收集，集中进行妥善处理，防止随意流散。本项目液体罐区为丙烯酸和巯基丙酸，物料的泄漏主要靠合理的围堰形成的封闭体来隔离。罐区围堰主要考虑最大可能的物料泄漏量，由于本项目为多台贮罐，围堰有效容积不得小于最大贮罐的容积及贮罐总容积的一半。</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此外，厂区车间、仓库四周设置收集槽，与厂区事故池连通。物料泄漏后，首先尽可能切断泄漏源。大量物料泄漏后，物料流入围堰，用泵转移至空的贮罐或者直接排入事故池；对于少量物料泄漏，用砂土、干灰混合，也可用大量水冲洗，冲洗水后排入厂区事故池。事故结束后，对事故池收容物根据性质妥善处置或进厂区污水站处理，泄漏物料及事故废水不会直接排入地表水体。企业应经常检查管道，定期系统试压、定期检漏。管道施工应按规范要求进行。</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（8）按规定设置建构筑物的安全通道，以便紧急状态下时保证人员疏散。生产现场有可能接触有毒物料的地点设置安全淋浴洗眼设备。配备必要的劳动保护用品，如防毒面具、防护手套、防护鞋、防护服等。</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（9）企业在最高建筑物上应设立“风向标”。如有泄漏等重大事故发生时，根 据风向对需要疏散的人员进行疏散至当时的上风向的安全点。</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10）加强职工的安全教育，定期组织事故抢救演习。企业应开展安全生产定期检查，严格实行岗位责任制，及时发现并消除隐患；制定防止事故发生的各种规章制度并严格执行。按规定对操作人员进行安全操作技术培训，考试合格后方可上岗。企业的安全工作应做到经常化和制度化。</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7</w:t>
      </w:r>
      <w:r>
        <w:rPr>
          <w:rFonts w:hint="eastAsia" w:ascii="Times New Roman" w:hAnsi="Times New Roman" w:eastAsia="仿宋" w:cs="Times New Roman"/>
          <w:color w:val="auto"/>
          <w:sz w:val="28"/>
          <w:szCs w:val="28"/>
          <w:lang w:val="en-US" w:eastAsia="zh-CN"/>
        </w:rPr>
        <w:t>、防止泄漏物料燃烧爆炸引发环境风险的措施</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生产区域内禁止吸烟、出现明火、出现高热源。</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生产车间、罐区、化学品库等主要构筑物均设置避雷带，对防雷设施经常检查。</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电气断路保护采用了低压断路器，过负荷保护采用了热继电器座，配电室均设置了过电保护。</w:t>
      </w:r>
    </w:p>
    <w:p>
      <w:pPr>
        <w:snapToGrid w:val="0"/>
        <w:spacing w:line="240" w:lineRule="auto"/>
        <w:ind w:firstLine="562" w:firstLineChars="200"/>
        <w:rPr>
          <w:rFonts w:hint="eastAsia" w:ascii="Times New Roman" w:hAnsi="Times New Roman" w:eastAsia="仿宋" w:cs="Times New Roman"/>
          <w:b/>
          <w:bCs/>
          <w:color w:val="auto"/>
          <w:sz w:val="28"/>
          <w:szCs w:val="28"/>
          <w:lang w:val="en-US" w:eastAsia="zh-CN"/>
        </w:rPr>
      </w:pPr>
      <w:r>
        <w:rPr>
          <w:rFonts w:hint="eastAsia" w:ascii="Times New Roman" w:hAnsi="Times New Roman" w:eastAsia="仿宋" w:cs="Times New Roman"/>
          <w:b/>
          <w:bCs/>
          <w:color w:val="auto"/>
          <w:sz w:val="28"/>
          <w:szCs w:val="28"/>
          <w:lang w:val="en-US" w:eastAsia="zh-CN"/>
        </w:rPr>
        <w:t>8</w:t>
      </w:r>
      <w:r>
        <w:rPr>
          <w:rFonts w:hint="eastAsia" w:ascii="Times New Roman" w:hAnsi="Times New Roman" w:eastAsia="仿宋" w:cs="Times New Roman"/>
          <w:b/>
          <w:bCs/>
          <w:color w:val="auto"/>
          <w:sz w:val="28"/>
          <w:szCs w:val="28"/>
          <w:lang w:val="en-US" w:eastAsia="zh-CN"/>
        </w:rPr>
        <w:t>、巯基丙酸等恶臭物料泄漏环境风险防范措施</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本工程使用的物料巯基丙酸具有恶臭、有毒等特性，为防止巯基丙酸泄漏恶 臭对周围环境的不利影响，日常生产及储运过程中应采取相应的防范措施，具体如下：</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①加强巡检、定期对储存巯基丙酸的设施、输送管道、设备阀门等进行检修，减少巯基丙酸跑、冒、滴、漏现象的发生。</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②反应釜等设施搅拌轴处设置密封垫，定期检查密封垫的有效严密性；</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③生产过程中严格按照操作规程进行操作；</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④对相关生产单元工人进行定期培训，持证上岗；</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⑤减少厂区巯基丙酸储存量，在一定程度上也能减小泄漏事故带来的危害；</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⑥厂区贮存场所及反应装置区、管线、机泵等易发生泄漏处设置应急物资，包括消防沙、收容桶及喷淋装置等。</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9</w:t>
      </w:r>
      <w:r>
        <w:rPr>
          <w:rFonts w:hint="eastAsia" w:ascii="Times New Roman" w:hAnsi="Times New Roman" w:eastAsia="仿宋" w:cs="Times New Roman"/>
          <w:color w:val="auto"/>
          <w:sz w:val="28"/>
          <w:szCs w:val="28"/>
          <w:lang w:val="en-US" w:eastAsia="zh-CN"/>
        </w:rPr>
        <w:t>、建立环境风险监测系统</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本工程风险事故监测系统要依赖于当地环境监测站，监测内容包括常规监测和应急监测。常规监测包括大气监测和水质监测，在常规监测项目中，已包含本工程的常规污染因子和特征污染因子，在事故发生后，要对全厂的事故污染物进行监测。贾汪区环境监测站（或徐州市环境监测中心站）作为重大事故监测的实施部门，接受应急指挥部门的领导和安排，监测站做好应急监测的队伍建设、监测方法筛选、人员培训、设备和仪器设备的配备。</w:t>
      </w:r>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厂方应与贾汪区环境监测站制定的事故应急环境监测方案进行沟通，进一步进行方案完善，添置应急设备，以满足本项目的特征污染因子监测需要。本项目在物料容易发生泄露处安装自动在线浓度监测报警仪，当有物料泄漏时能及时报警，以便在第一时间及时处理。一旦发生重大事故，贾汪区监测站将启动环境污染应急预案，成立环境保护组，在厂内应急监测小组的配合下，负责对事故现场污染区进行应急监测，包括事故规模、事态发展的去向、事故影响边界、气象条件、污染物浓度、流量、可能的二次反应有害物及污染物质滞留区等，事故处置过程中要及时提供上述监测数据。</w:t>
      </w:r>
    </w:p>
    <w:p>
      <w:pPr>
        <w:pStyle w:val="5"/>
        <w:widowControl w:val="0"/>
        <w:wordWrap/>
        <w:adjustRightInd/>
        <w:snapToGrid w:val="0"/>
        <w:spacing w:before="0" w:beforeAutospacing="0" w:line="360" w:lineRule="auto"/>
        <w:ind w:left="0"/>
        <w:textAlignment w:val="auto"/>
        <w:outlineLvl w:val="1"/>
        <w:rPr>
          <w:rFonts w:hint="eastAsia" w:ascii="Times New Roman" w:hAnsi="Times New Roman" w:eastAsia="仿宋" w:cs="Times New Roman"/>
          <w:b/>
          <w:bCs/>
          <w:color w:val="auto"/>
          <w:sz w:val="30"/>
          <w:szCs w:val="30"/>
        </w:rPr>
      </w:pPr>
      <w:bookmarkStart w:id="255" w:name="_Toc20391"/>
      <w:r>
        <w:rPr>
          <w:rFonts w:hint="eastAsia" w:ascii="Times New Roman" w:hAnsi="Times New Roman" w:eastAsia="仿宋" w:cs="Times New Roman"/>
          <w:b/>
          <w:bCs/>
          <w:color w:val="auto"/>
          <w:sz w:val="30"/>
          <w:szCs w:val="30"/>
          <w:lang w:val="en-US" w:eastAsia="zh-CN"/>
        </w:rPr>
        <w:t>5.</w:t>
      </w:r>
      <w:r>
        <w:rPr>
          <w:rFonts w:hint="eastAsia" w:ascii="Times New Roman" w:hAnsi="Times New Roman" w:eastAsia="仿宋" w:cs="Times New Roman"/>
          <w:b/>
          <w:bCs/>
          <w:color w:val="auto"/>
          <w:sz w:val="30"/>
          <w:szCs w:val="30"/>
        </w:rPr>
        <w:t>3 预警</w:t>
      </w:r>
      <w:bookmarkEnd w:id="255"/>
    </w:p>
    <w:p>
      <w:pPr>
        <w:pStyle w:val="6"/>
        <w:widowControl w:val="0"/>
        <w:wordWrap/>
        <w:adjustRightInd/>
        <w:snapToGrid w:val="0"/>
        <w:spacing w:before="0" w:beforeAutospacing="0" w:line="360" w:lineRule="auto"/>
        <w:ind w:left="0"/>
        <w:textAlignment w:val="auto"/>
        <w:outlineLvl w:val="2"/>
        <w:rPr>
          <w:rFonts w:hint="default" w:ascii="Times New Roman" w:hAnsi="Times New Roman" w:eastAsia="仿宋" w:cs="Times New Roman"/>
          <w:b/>
          <w:bCs/>
          <w:color w:val="auto"/>
          <w:sz w:val="28"/>
          <w:szCs w:val="28"/>
        </w:rPr>
      </w:pPr>
      <w:bookmarkStart w:id="256" w:name="_Toc32223"/>
      <w:r>
        <w:rPr>
          <w:rFonts w:hint="eastAsia" w:ascii="Times New Roman" w:hAnsi="Times New Roman" w:eastAsia="仿宋" w:cs="Times New Roman"/>
          <w:b/>
          <w:bCs/>
          <w:color w:val="auto"/>
          <w:sz w:val="28"/>
          <w:szCs w:val="28"/>
          <w:lang w:val="en-US" w:eastAsia="zh-CN"/>
        </w:rPr>
        <w:t>5</w:t>
      </w:r>
      <w:r>
        <w:rPr>
          <w:rFonts w:hint="default" w:ascii="Times New Roman" w:hAnsi="Times New Roman" w:eastAsia="仿宋" w:cs="Times New Roman"/>
          <w:b/>
          <w:bCs/>
          <w:color w:val="auto"/>
          <w:sz w:val="28"/>
          <w:szCs w:val="28"/>
        </w:rPr>
        <w:t>.3.1 预警分级</w:t>
      </w:r>
      <w:bookmarkEnd w:id="256"/>
      <w:r>
        <w:rPr>
          <w:rFonts w:hint="default" w:ascii="Times New Roman" w:hAnsi="Times New Roman" w:eastAsia="仿宋" w:cs="Times New Roman"/>
          <w:b/>
          <w:bCs/>
          <w:color w:val="auto"/>
          <w:sz w:val="28"/>
          <w:szCs w:val="28"/>
        </w:rPr>
        <w:t xml:space="preserve"> </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bookmarkStart w:id="257" w:name="_Toc365446420"/>
      <w:bookmarkStart w:id="258" w:name="_Toc516651852"/>
      <w:bookmarkStart w:id="259" w:name="_Toc525292673"/>
      <w:bookmarkStart w:id="260" w:name="_Toc365446300"/>
      <w:bookmarkStart w:id="261" w:name="_Toc375829899"/>
      <w:bookmarkStart w:id="262" w:name="_Toc375834690"/>
      <w:r>
        <w:rPr>
          <w:rFonts w:hint="eastAsia" w:ascii="Times New Roman" w:hAnsi="Times New Roman" w:eastAsia="仿宋" w:cs="Times New Roman"/>
          <w:color w:val="auto"/>
          <w:sz w:val="28"/>
          <w:szCs w:val="28"/>
          <w:lang w:val="en-US" w:eastAsia="zh-CN"/>
        </w:rPr>
        <w:t>结合《国家突发环境事件应急预案》中规定的红、橙、黄、蓝四级预警级别，结合企业实际情况，按照企业突发环境事件严重性、紧急程度和可能波及的范围，徐州超力建材有限公司突发环境事件的预警分为三级（橙、黄、蓝）</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（1）预警分级：根据突发事件发生的可能性及严重程度进行预警分级，由低到高分成蓝色、黄色、橙色三个预警级别。</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（2）预警条件</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①外来预警信息：气象信息、外来威胁等。</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②内部预警信息：隐患扩大、危险作业等。</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③事故扩大衍生：如火灾事故时应发出设备事故预警信息。</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④预警信息包括突发安全生产事故的类别、预警级别、起始时间、可能影响范围、预警事项、应采取的措施和发布单位等。</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（3）预警发布与预警行动</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根据环境污染、人体危害、经济损失、社会影响的程度，将环境污染与破坏事故的四个类别划分为三个预警等级。</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三级预警：一般或较大环境污染与破坏事故。</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二级预警：重大环境污染与破坏事故。</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一级预警：特大环境污染与破坏事故。</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发生环境事故、事件后，值班人员必须在第一时间向应急办公室报告，应急办公室向应急指挥部报告；情况危急时可直接向应急指挥部报告。应急指挥部应根据事故性质即时向贾汪区环境保护局报告，并立即组织进行现场调查。</w:t>
      </w:r>
    </w:p>
    <w:bookmarkEnd w:id="257"/>
    <w:bookmarkEnd w:id="258"/>
    <w:bookmarkEnd w:id="259"/>
    <w:bookmarkEnd w:id="260"/>
    <w:bookmarkEnd w:id="261"/>
    <w:bookmarkEnd w:id="262"/>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bookmarkStart w:id="263" w:name="_Toc516651853"/>
      <w:bookmarkStart w:id="264" w:name="_Toc525292674"/>
      <w:r>
        <w:rPr>
          <w:rFonts w:hint="eastAsia" w:ascii="Times New Roman" w:hAnsi="Times New Roman" w:eastAsia="仿宋" w:cs="Times New Roman"/>
          <w:color w:val="auto"/>
          <w:sz w:val="28"/>
          <w:szCs w:val="28"/>
          <w:lang w:val="en-US" w:eastAsia="zh-CN"/>
        </w:rPr>
        <w:t>（4）预警的方式、方法</w:t>
      </w:r>
      <w:bookmarkEnd w:id="263"/>
      <w:bookmarkEnd w:id="264"/>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出现事故预警条件时，现场发现人应立即采取措施控制事故并报告上一级领导，如现场作业人员不能立即解决问题，则应通过公司通信系统（对讲机、手报按钮、消防电话）向公司应急救援指挥部报警。</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①应急指挥部宣布启动预案，应急办公室指令应急抢险救护组负责人，立即召集所有组成人员，携带污染事故专用应急设备，在最短的时间内赶赴现场。</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②在迅速通知各应急小组的同时，应急指挥部应参与现场控制和处理，防止污染扩散，根据现场勘察情况，配合划定警戒线范围，禁止无关人员进入。</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③应急抢险救护组到达现场后，应迅速展开现场调查，判明事故、事件发生的时间、地点、原因、污染物种类、性质、数量，已造成的污染范围、影响程度及事发地地理概况等情况，确定现场监测布点、摄像、拍照等取证工作。</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④应急抢险救护组负责人将现场调查情况及拟采取的措施及时报告应急办公室，应急办公室汇总后报告应急指挥部，由应急指挥部审定后上报。同时应急指挥部根据现场情况和应急抢险救护组的要求，批准进行事故处理，并决定是否增派有关专家、人员、设备、物资赶赴现场增援。</w:t>
      </w:r>
    </w:p>
    <w:p>
      <w:pPr>
        <w:snapToGrid w:val="0"/>
        <w:spacing w:line="240" w:lineRule="auto"/>
        <w:ind w:firstLine="560" w:firstLineChars="20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⑤根据现场污染监测数据和现场调查，应急抢险救护组向应急办公室建议建立污染警戒区域，应急办公室报告应急指挥部审定后组织实施，较大环境污染与破坏事故以上时向贾汪区环保局汇报，由贾汪区环保局通报有关部门，作出是否发布警报决定。</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lang w:val="en-US" w:eastAsia="zh-CN"/>
        </w:rPr>
        <w:t>⑥同时，应急抢险救护组要及时进行事故处理分析，向应急事故处理组通报情况，确定对外发布污染事故消息。</w:t>
      </w:r>
      <w:r>
        <w:rPr>
          <w:rFonts w:hint="default" w:ascii="Times New Roman" w:hAnsi="Times New Roman" w:eastAsia="仿宋" w:cs="Times New Roman"/>
          <w:color w:val="auto"/>
          <w:sz w:val="28"/>
          <w:szCs w:val="28"/>
        </w:rPr>
        <w:t xml:space="preserve">。 </w:t>
      </w:r>
      <w:bookmarkStart w:id="265" w:name="6.3.2预警条件"/>
      <w:bookmarkEnd w:id="265"/>
    </w:p>
    <w:p>
      <w:pPr>
        <w:pStyle w:val="6"/>
        <w:widowControl w:val="0"/>
        <w:wordWrap/>
        <w:adjustRightInd/>
        <w:snapToGrid w:val="0"/>
        <w:spacing w:beforeLines="50" w:beforeAutospacing="0" w:after="120" w:line="240" w:lineRule="auto"/>
        <w:ind w:left="0"/>
        <w:textAlignment w:val="auto"/>
        <w:outlineLvl w:val="2"/>
        <w:rPr>
          <w:rFonts w:hint="default" w:ascii="Times New Roman" w:hAnsi="Times New Roman" w:eastAsia="仿宋" w:cs="Times New Roman"/>
          <w:b/>
          <w:bCs/>
          <w:color w:val="auto"/>
          <w:sz w:val="28"/>
          <w:szCs w:val="28"/>
          <w:lang w:val="en-US" w:eastAsia="zh-CN"/>
        </w:rPr>
      </w:pPr>
      <w:bookmarkStart w:id="266" w:name="_Toc28623"/>
      <w:r>
        <w:rPr>
          <w:rFonts w:hint="eastAsia" w:ascii="Times New Roman" w:hAnsi="Times New Roman" w:eastAsia="仿宋" w:cs="Times New Roman"/>
          <w:b/>
          <w:bCs/>
          <w:color w:val="auto"/>
          <w:sz w:val="28"/>
          <w:szCs w:val="28"/>
          <w:lang w:val="en-US" w:eastAsia="zh-CN"/>
        </w:rPr>
        <w:t>5</w:t>
      </w:r>
      <w:r>
        <w:rPr>
          <w:rFonts w:hint="default" w:ascii="Times New Roman" w:hAnsi="Times New Roman" w:eastAsia="仿宋" w:cs="Times New Roman"/>
          <w:b/>
          <w:bCs/>
          <w:color w:val="auto"/>
          <w:sz w:val="28"/>
          <w:szCs w:val="28"/>
          <w:lang w:val="en-US" w:eastAsia="zh-CN"/>
        </w:rPr>
        <w:t>.3.2 预警条件</w:t>
      </w:r>
      <w:bookmarkEnd w:id="266"/>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（1）Ⅱ级预警发布条件</w:t>
      </w: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Ⅱ级预警指可能发生的事故能够被控制</w:t>
      </w: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或对企业的生产安全和外部环境构成一定影响，但不会超出公司的边界，外部人员一般不会 受事故的直接影响。</w:t>
      </w:r>
    </w:p>
    <w:p>
      <w:pPr>
        <w:snapToGrid w:val="0"/>
        <w:spacing w:line="24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Ⅰ级预警发布条件</w:t>
      </w: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Ⅰ级预警指可能发生的事故对公司的生产安全会构成严重影响</w:t>
      </w: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且已超出公司的边界，外部人员及周边企业已受到事故直接影响。</w:t>
      </w:r>
    </w:p>
    <w:p>
      <w:pPr>
        <w:pStyle w:val="6"/>
        <w:widowControl w:val="0"/>
        <w:wordWrap/>
        <w:adjustRightInd/>
        <w:snapToGrid w:val="0"/>
        <w:spacing w:beforeLines="50" w:beforeAutospacing="0" w:after="120" w:line="240" w:lineRule="auto"/>
        <w:ind w:left="0"/>
        <w:textAlignment w:val="auto"/>
        <w:outlineLvl w:val="2"/>
        <w:rPr>
          <w:rFonts w:hint="default" w:ascii="Times New Roman" w:hAnsi="Times New Roman" w:eastAsia="仿宋" w:cs="Times New Roman"/>
          <w:b/>
          <w:bCs/>
          <w:color w:val="auto"/>
          <w:sz w:val="28"/>
          <w:szCs w:val="28"/>
          <w:lang w:val="en-US" w:eastAsia="zh-CN"/>
        </w:rPr>
      </w:pPr>
      <w:bookmarkStart w:id="267" w:name="_Toc19170"/>
      <w:r>
        <w:rPr>
          <w:rFonts w:hint="eastAsia" w:ascii="Times New Roman" w:hAnsi="Times New Roman" w:eastAsia="仿宋" w:cs="Times New Roman"/>
          <w:b/>
          <w:bCs/>
          <w:color w:val="auto"/>
          <w:sz w:val="28"/>
          <w:szCs w:val="28"/>
          <w:lang w:val="en-US" w:eastAsia="zh-CN"/>
        </w:rPr>
        <w:t>5</w:t>
      </w:r>
      <w:r>
        <w:rPr>
          <w:rFonts w:hint="default" w:ascii="Times New Roman" w:hAnsi="Times New Roman" w:eastAsia="仿宋" w:cs="Times New Roman"/>
          <w:b/>
          <w:bCs/>
          <w:color w:val="auto"/>
          <w:sz w:val="28"/>
          <w:szCs w:val="28"/>
          <w:lang w:val="en-US" w:eastAsia="zh-CN"/>
        </w:rPr>
        <w:t>.3.3 发布预警方式、方法</w:t>
      </w:r>
      <w:bookmarkEnd w:id="267"/>
    </w:p>
    <w:p>
      <w:pPr>
        <w:pStyle w:val="10"/>
        <w:widowControl w:val="0"/>
        <w:wordWrap/>
        <w:adjustRightInd/>
        <w:spacing w:before="0" w:beforeAutospacing="0" w:line="240" w:lineRule="auto"/>
        <w:ind w:left="679" w:right="0"/>
        <w:jc w:val="left"/>
        <w:textAlignment w:val="auto"/>
        <w:rPr>
          <w:color w:val="auto"/>
        </w:rPr>
      </w:pPr>
      <w:r>
        <w:rPr>
          <w:b w:val="0"/>
          <w:bCs w:val="0"/>
          <w:color w:val="auto"/>
          <w:spacing w:val="-1"/>
          <w:w w:val="100"/>
        </w:rPr>
        <w:t>（一</w:t>
      </w:r>
      <w:r>
        <w:rPr>
          <w:b w:val="0"/>
          <w:bCs w:val="0"/>
          <w:color w:val="auto"/>
          <w:spacing w:val="2"/>
          <w:w w:val="100"/>
        </w:rPr>
        <w:t>）</w:t>
      </w:r>
      <w:r>
        <w:rPr>
          <w:b w:val="0"/>
          <w:bCs w:val="0"/>
          <w:color w:val="auto"/>
          <w:spacing w:val="-1"/>
          <w:w w:val="100"/>
        </w:rPr>
        <w:t>Ⅱ级预警发</w:t>
      </w:r>
      <w:r>
        <w:rPr>
          <w:b w:val="0"/>
          <w:bCs w:val="0"/>
          <w:color w:val="auto"/>
          <w:spacing w:val="2"/>
          <w:w w:val="100"/>
        </w:rPr>
        <w:t>布</w:t>
      </w:r>
      <w:r>
        <w:rPr>
          <w:b w:val="0"/>
          <w:bCs w:val="0"/>
          <w:color w:val="auto"/>
          <w:spacing w:val="-1"/>
          <w:w w:val="100"/>
        </w:rPr>
        <w:t>方式、方</w:t>
      </w:r>
      <w:r>
        <w:rPr>
          <w:b w:val="0"/>
          <w:bCs w:val="0"/>
          <w:color w:val="auto"/>
          <w:spacing w:val="0"/>
          <w:w w:val="100"/>
        </w:rPr>
        <w:t>法</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rPr>
        <w:t>发生Ⅱ级预警现象后，现场人员应立即通过防爆对讲机向车间负责人汇报异常情况。</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（2）车间负责人应立即组织人员对异常情况进行排查，如有必要应紧急切断相关设备和管道，防止事故发生。</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（3）车间负责人通知周围无关人员撤离到安全位置。</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（4）当车间负责人对异常情况无法解决或事件有升级趋势时， 应立即向应急指挥部汇报。</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（5）应急指挥部发布指令，专业应急组进入应急状态，随时掌握并报告事态进展情况。</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（6）应急指挥部疏散周围人群，将事故可能影响范围内人群撤 离到安全位置待命。</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（7）当事件有升级趋势时，应立即启动Ⅰ级预警，并紧急寻求公司外的社会救援以有效控制事态。</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（8）车间负责人对异常原因调查清楚并采取措施控制后，可解除预警。</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（二）Ⅰ级预警发布方式、方法</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（1）发生Ⅰ级预警现象后，现场人员应立即通过防爆对讲机向车间负责人和应急指挥部汇报异常情况。</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（2）车间负责人应立即组织人员对异常情况进行排查，并紧急切断所有设备、管道阀门、电源，防止事故扩大。</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（3）应急指挥部发布指令，专业应急组进入应急状态，随时掌握并报告事态进展情况。</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（4）应急指挥部应立即寻求公司外的社会救援，并进入应急准备状态；</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（5）应急指挥部疏散厂区人群，将人群撤离到安全位置待命。</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（6）针对突发事件可能造成的危害，封闭、隔离或者限制使用有关场所，中止可能导致危害扩大的行为和活动。</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（7）调集应急所需物资和设备，确保应急保障工作。</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（8）车间负责人对异常原因调查清楚并采取措施控制后，可解除预警。</w:t>
      </w:r>
    </w:p>
    <w:p>
      <w:pPr>
        <w:pStyle w:val="5"/>
        <w:snapToGrid w:val="0"/>
        <w:spacing w:beforeLines="50" w:afterLines="50" w:line="500" w:lineRule="exact"/>
        <w:ind w:left="0"/>
        <w:outlineLvl w:val="1"/>
        <w:rPr>
          <w:rFonts w:hint="eastAsia" w:ascii="Times New Roman" w:hAnsi="Times New Roman" w:eastAsia="仿宋" w:cs="Times New Roman"/>
          <w:b/>
          <w:bCs/>
          <w:color w:val="auto"/>
          <w:sz w:val="30"/>
          <w:szCs w:val="30"/>
        </w:rPr>
      </w:pPr>
      <w:bookmarkStart w:id="268" w:name="_Toc29428"/>
      <w:r>
        <w:rPr>
          <w:rFonts w:hint="eastAsia" w:ascii="Times New Roman" w:hAnsi="Times New Roman" w:cs="Times New Roman"/>
          <w:b/>
          <w:bCs/>
          <w:color w:val="auto"/>
          <w:sz w:val="30"/>
          <w:szCs w:val="30"/>
          <w:lang w:val="en-US" w:eastAsia="zh-CN"/>
        </w:rPr>
        <w:t>5</w:t>
      </w:r>
      <w:r>
        <w:rPr>
          <w:rFonts w:hint="eastAsia" w:ascii="Times New Roman" w:hAnsi="Times New Roman" w:eastAsia="仿宋" w:cs="Times New Roman"/>
          <w:b/>
          <w:bCs/>
          <w:color w:val="auto"/>
          <w:sz w:val="30"/>
          <w:szCs w:val="30"/>
        </w:rPr>
        <w:t>.4 报警、通讯联络方式</w:t>
      </w:r>
      <w:bookmarkEnd w:id="268"/>
    </w:p>
    <w:p>
      <w:pPr>
        <w:pStyle w:val="6"/>
        <w:widowControl w:val="0"/>
        <w:wordWrap/>
        <w:adjustRightInd/>
        <w:snapToGrid w:val="0"/>
        <w:spacing w:before="0" w:beforeAutospacing="0" w:after="0" w:line="360" w:lineRule="auto"/>
        <w:ind w:left="0"/>
        <w:textAlignment w:val="auto"/>
        <w:outlineLvl w:val="2"/>
        <w:rPr>
          <w:rFonts w:hint="default" w:ascii="Times New Roman" w:hAnsi="Times New Roman" w:eastAsia="仿宋" w:cs="Times New Roman"/>
          <w:b/>
          <w:bCs/>
          <w:color w:val="auto"/>
          <w:sz w:val="28"/>
          <w:szCs w:val="28"/>
          <w:lang w:val="en-US" w:eastAsia="zh-CN"/>
        </w:rPr>
      </w:pPr>
      <w:bookmarkStart w:id="269" w:name="_Toc11025"/>
      <w:r>
        <w:rPr>
          <w:rFonts w:hint="eastAsia" w:ascii="Times New Roman" w:hAnsi="Times New Roman" w:eastAsia="仿宋" w:cs="Times New Roman"/>
          <w:b/>
          <w:bCs/>
          <w:color w:val="auto"/>
          <w:sz w:val="28"/>
          <w:szCs w:val="28"/>
          <w:lang w:val="en-US" w:eastAsia="zh-CN"/>
        </w:rPr>
        <w:t>5</w:t>
      </w:r>
      <w:r>
        <w:rPr>
          <w:rFonts w:hint="default" w:ascii="Times New Roman" w:hAnsi="Times New Roman" w:eastAsia="仿宋" w:cs="Times New Roman"/>
          <w:b/>
          <w:bCs/>
          <w:color w:val="auto"/>
          <w:sz w:val="28"/>
          <w:szCs w:val="28"/>
          <w:lang w:val="en-US" w:eastAsia="zh-CN"/>
        </w:rPr>
        <w:t>.4.1 报警方式</w:t>
      </w:r>
      <w:bookmarkEnd w:id="269"/>
      <w:r>
        <w:rPr>
          <w:rFonts w:hint="default" w:ascii="Times New Roman" w:hAnsi="Times New Roman" w:eastAsia="仿宋" w:cs="Times New Roman"/>
          <w:b/>
          <w:bCs/>
          <w:color w:val="auto"/>
          <w:sz w:val="28"/>
          <w:szCs w:val="28"/>
          <w:lang w:val="en-US" w:eastAsia="zh-CN"/>
        </w:rPr>
        <w:t xml:space="preserve">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1、24小时有效报警装置</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该公司突发环境污染事件报警方式采用内部电话和外部电话线路进行报警，由应急救援指挥部根据事态情况通过厂内电话向内部发布事故消息，做出紧急疏散和撤离等通知。需要社会和周边发布警报时，由应急救援指挥部人员向政府以及周边单位发送警报消息。事态严重紧急时，通过应急救援指挥部直接联系政府以及周边单位负责人，由总指挥亲自向政府或负责人发布消息，提出要求组织撤离疏散或者请求援助，随时保持电话联系。</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在生产过程中，岗位操作人员发现危险目标发生泄漏应立即采取相应措施给予处理。操作人员无法控制时，立即向现场领导报告，现场领导依据泄漏事故的类别和级别，应立即向应急救援指挥部领导成员汇报，确定应急救援程序，并通知领导小组其他成员。</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2、24小时内有效的内部、外部通讯</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该公司应急救援人员之间采用手机、电话进行联系，应急救援小组成员的手机必须24小时开机保持畅通。若手机号码变更必须在变更之日起48小时内向应急救援指挥部报告。</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3、主要使用报警、救援电话</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  内部电话：24小时应急值守电话：0516-69850385。</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外部电话：</w:t>
      </w:r>
    </w:p>
    <w:p>
      <w:pPr>
        <w:spacing w:line="240" w:lineRule="auto"/>
        <w:ind w:firstLine="0" w:firstLineChars="0"/>
        <w:jc w:val="center"/>
        <w:rPr>
          <w:rFonts w:hint="default" w:ascii="Times New Roman" w:hAnsi="Times New Roman" w:eastAsia="仿宋" w:cs="Times New Roman"/>
          <w:b/>
          <w:bCs/>
          <w:color w:val="auto"/>
        </w:rPr>
      </w:pPr>
      <w:r>
        <w:rPr>
          <w:rFonts w:hint="default" w:ascii="Times New Roman" w:hAnsi="Times New Roman" w:eastAsia="仿宋" w:cs="Times New Roman"/>
          <w:b/>
          <w:color w:val="auto"/>
          <w:lang w:val="zh-CN"/>
        </w:rPr>
        <w:t>应急救援指挥组织与联系电话</w:t>
      </w:r>
      <w:r>
        <w:rPr>
          <w:rFonts w:hint="default" w:ascii="Times New Roman" w:hAnsi="Times New Roman" w:eastAsia="仿宋" w:cs="Times New Roman"/>
          <w:b/>
          <w:bCs/>
          <w:color w:val="auto"/>
        </w:rPr>
        <w:t>(外部)</w:t>
      </w:r>
    </w:p>
    <w:tbl>
      <w:tblPr>
        <w:tblStyle w:val="21"/>
        <w:tblW w:w="8789" w:type="dxa"/>
        <w:tblInd w:w="108" w:type="dxa"/>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559"/>
        <w:gridCol w:w="2809"/>
        <w:gridCol w:w="2107"/>
        <w:gridCol w:w="1605"/>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155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类  别</w:t>
            </w:r>
          </w:p>
        </w:tc>
        <w:tc>
          <w:tcPr>
            <w:tcW w:w="2809" w:type="dxa"/>
            <w:vAlign w:val="center"/>
          </w:tcPr>
          <w:p>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color w:val="auto"/>
                <w:sz w:val="21"/>
                <w:szCs w:val="21"/>
              </w:rPr>
              <w:t>单位名称</w:t>
            </w:r>
          </w:p>
        </w:tc>
        <w:tc>
          <w:tcPr>
            <w:tcW w:w="2107" w:type="dxa"/>
            <w:vAlign w:val="center"/>
          </w:tcPr>
          <w:p>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color w:val="auto"/>
                <w:sz w:val="21"/>
                <w:szCs w:val="21"/>
              </w:rPr>
              <w:t>主 要 能 力</w:t>
            </w:r>
          </w:p>
        </w:tc>
        <w:tc>
          <w:tcPr>
            <w:tcW w:w="1605" w:type="dxa"/>
            <w:vAlign w:val="center"/>
          </w:tcPr>
          <w:p>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color w:val="auto"/>
                <w:sz w:val="21"/>
                <w:szCs w:val="21"/>
              </w:rPr>
              <w:t>备注</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eastAsia"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w:t>
            </w:r>
          </w:p>
        </w:tc>
        <w:tc>
          <w:tcPr>
            <w:tcW w:w="1559" w:type="dxa"/>
            <w:vMerge w:val="restart"/>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应急救援单位</w:t>
            </w:r>
          </w:p>
        </w:tc>
        <w:tc>
          <w:tcPr>
            <w:tcW w:w="2809" w:type="dxa"/>
            <w:vAlign w:val="center"/>
          </w:tcPr>
          <w:p>
            <w:pPr>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公安报警</w:t>
            </w:r>
          </w:p>
        </w:tc>
        <w:tc>
          <w:tcPr>
            <w:tcW w:w="2107" w:type="dxa"/>
            <w:vMerge w:val="restart"/>
            <w:vAlign w:val="center"/>
          </w:tcPr>
          <w:p>
            <w:pPr>
              <w:adjustRightInd w:val="0"/>
              <w:snapToGrid w:val="0"/>
              <w:jc w:val="center"/>
              <w:rPr>
                <w:rFonts w:hint="default" w:ascii="Times New Roman" w:hAnsi="Times New Roman" w:eastAsia="仿宋" w:cs="Times New Roman"/>
                <w:b/>
                <w:color w:val="auto"/>
                <w:sz w:val="21"/>
                <w:szCs w:val="21"/>
              </w:rPr>
            </w:pPr>
            <w:r>
              <w:rPr>
                <w:rFonts w:hint="eastAsia" w:ascii="Times New Roman" w:hAnsi="Times New Roman" w:eastAsia="仿宋" w:cs="Times New Roman"/>
                <w:color w:val="auto"/>
                <w:kern w:val="0"/>
                <w:sz w:val="21"/>
                <w:szCs w:val="21"/>
                <w:lang w:val="en-US" w:eastAsia="zh-CN" w:bidi="ar-SA"/>
              </w:rPr>
              <w:t>对突发环境环境事件展开救援工作</w:t>
            </w: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110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eastAsia"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2</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消防报警</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119</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3</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医疗急救</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120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4</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贾汪区政府</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0516-66889267</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6</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徐州市</w:t>
            </w:r>
            <w:r>
              <w:rPr>
                <w:rFonts w:hint="eastAsia" w:ascii="Times New Roman" w:hAnsi="Times New Roman" w:eastAsia="仿宋" w:cs="Times New Roman"/>
                <w:color w:val="auto"/>
                <w:kern w:val="2"/>
                <w:sz w:val="21"/>
                <w:szCs w:val="21"/>
                <w:lang w:val="en-US" w:eastAsia="zh-CN" w:bidi="ar-SA"/>
              </w:rPr>
              <w:t>贾汪</w:t>
            </w:r>
            <w:r>
              <w:rPr>
                <w:rFonts w:hint="default" w:ascii="Times New Roman" w:hAnsi="Times New Roman" w:eastAsia="仿宋" w:cs="Times New Roman"/>
                <w:color w:val="auto"/>
                <w:kern w:val="2"/>
                <w:sz w:val="21"/>
                <w:szCs w:val="21"/>
                <w:lang w:val="en-US" w:eastAsia="zh-CN" w:bidi="ar-SA"/>
              </w:rPr>
              <w:t>生态环境局</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0516-80112369</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7</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贾汪区公安局</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0516-87712104</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8</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贾汪区交通局</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0516-87716333</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9</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widowControl/>
              <w:tabs>
                <w:tab w:val="center" w:pos="4649"/>
                <w:tab w:val="left" w:pos="5895"/>
              </w:tabs>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贾汪区人民医院</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0516-87715120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10</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贾汪区</w:t>
            </w:r>
            <w:r>
              <w:rPr>
                <w:rFonts w:hint="eastAsia" w:ascii="Times New Roman" w:hAnsi="Times New Roman" w:eastAsia="仿宋" w:cs="Times New Roman"/>
                <w:color w:val="auto"/>
                <w:kern w:val="0"/>
                <w:sz w:val="21"/>
                <w:szCs w:val="21"/>
                <w:lang w:eastAsia="zh-CN"/>
              </w:rPr>
              <w:t>应急管理局</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0516-87812118</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11</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spacing w:line="240" w:lineRule="auto"/>
              <w:ind w:firstLine="0" w:firstLineChars="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徐州市</w:t>
            </w:r>
            <w:r>
              <w:rPr>
                <w:rFonts w:hint="eastAsia" w:ascii="Times New Roman" w:hAnsi="Times New Roman" w:eastAsia="仿宋" w:cs="Times New Roman"/>
                <w:color w:val="auto"/>
                <w:kern w:val="0"/>
                <w:sz w:val="21"/>
                <w:szCs w:val="21"/>
                <w:lang w:eastAsia="zh-CN"/>
              </w:rPr>
              <w:t>应急管理局</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0516-83739658</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12</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spacing w:line="240" w:lineRule="auto"/>
              <w:ind w:firstLine="0" w:firstLineChars="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徐州市</w:t>
            </w:r>
            <w:r>
              <w:rPr>
                <w:rFonts w:hint="eastAsia" w:ascii="Times New Roman" w:hAnsi="Times New Roman" w:eastAsia="仿宋" w:cs="Times New Roman"/>
                <w:color w:val="auto"/>
                <w:kern w:val="0"/>
                <w:sz w:val="21"/>
                <w:szCs w:val="21"/>
                <w:lang w:eastAsia="zh-CN"/>
              </w:rPr>
              <w:t>生态环境局</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12369</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13</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spacing w:line="240" w:lineRule="auto"/>
              <w:ind w:firstLine="0" w:firstLineChars="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eastAsia="zh-CN"/>
              </w:rPr>
              <w:t>江苏省徐州环境监测中心</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0516-856356</w:t>
            </w:r>
            <w:r>
              <w:rPr>
                <w:rFonts w:hint="eastAsia" w:ascii="Times New Roman" w:hAnsi="Times New Roman" w:eastAsia="仿宋" w:cs="Times New Roman"/>
                <w:color w:val="auto"/>
                <w:kern w:val="0"/>
                <w:sz w:val="21"/>
                <w:szCs w:val="21"/>
                <w:lang w:val="en-US" w:eastAsia="zh-CN"/>
              </w:rPr>
              <w:t>80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14</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spacing w:line="240" w:lineRule="auto"/>
              <w:ind w:firstLine="0" w:firstLineChars="0"/>
              <w:jc w:val="center"/>
              <w:rPr>
                <w:rFonts w:hint="eastAsia"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徐州市第一人民医院</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0516-85803000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15</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top"/>
          </w:tcPr>
          <w:p>
            <w:pPr>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徐州工业园区管委会</w:t>
            </w:r>
          </w:p>
        </w:tc>
        <w:tc>
          <w:tcPr>
            <w:tcW w:w="2107" w:type="dxa"/>
            <w:vMerge w:val="continue"/>
            <w:vAlign w:val="center"/>
          </w:tcPr>
          <w:p>
            <w:pPr>
              <w:adjustRightInd w:val="0"/>
              <w:snapToGrid w:val="0"/>
              <w:jc w:val="center"/>
              <w:rPr>
                <w:rFonts w:hint="default" w:ascii="Times New Roman" w:hAnsi="Times New Roman" w:eastAsia="仿宋" w:cs="Times New Roman"/>
                <w:b/>
                <w:color w:val="auto"/>
                <w:sz w:val="21"/>
                <w:szCs w:val="21"/>
              </w:rPr>
            </w:pPr>
          </w:p>
        </w:tc>
        <w:tc>
          <w:tcPr>
            <w:tcW w:w="1605" w:type="dxa"/>
            <w:vAlign w:val="top"/>
          </w:tcPr>
          <w:p>
            <w:pPr>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rPr>
              <w:t>0516-85523818</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11</w:t>
            </w:r>
          </w:p>
        </w:tc>
        <w:tc>
          <w:tcPr>
            <w:tcW w:w="1559" w:type="dxa"/>
            <w:vMerge w:val="restart"/>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应急监测单位</w:t>
            </w:r>
          </w:p>
        </w:tc>
        <w:tc>
          <w:tcPr>
            <w:tcW w:w="280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江苏徐海环境监测有限公司</w:t>
            </w:r>
          </w:p>
        </w:tc>
        <w:tc>
          <w:tcPr>
            <w:tcW w:w="2107" w:type="dxa"/>
            <w:vMerge w:val="restart"/>
            <w:vAlign w:val="center"/>
          </w:tcPr>
          <w:p>
            <w:pPr>
              <w:adjustRightInd w:val="0"/>
              <w:snapToGrid w:val="0"/>
              <w:jc w:val="center"/>
              <w:rPr>
                <w:rFonts w:hint="eastAsia" w:ascii="Times New Roman" w:hAnsi="Times New Roman" w:eastAsia="仿宋" w:cs="Times New Roman"/>
                <w:b/>
                <w:color w:val="auto"/>
                <w:sz w:val="21"/>
                <w:szCs w:val="21"/>
                <w:lang w:eastAsia="zh-CN"/>
              </w:rPr>
            </w:pPr>
            <w:r>
              <w:rPr>
                <w:rFonts w:hint="eastAsia" w:ascii="Times New Roman" w:hAnsi="Times New Roman" w:eastAsia="仿宋" w:cs="Times New Roman"/>
                <w:b/>
                <w:color w:val="auto"/>
                <w:sz w:val="21"/>
                <w:szCs w:val="21"/>
                <w:lang w:eastAsia="zh-CN"/>
              </w:rPr>
              <w:t>应急监测</w:t>
            </w:r>
          </w:p>
        </w:tc>
        <w:tc>
          <w:tcPr>
            <w:tcW w:w="1605"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color w:val="auto"/>
                <w:sz w:val="21"/>
                <w:szCs w:val="21"/>
                <w:lang w:val="en-US" w:eastAsia="zh-CN"/>
              </w:rPr>
              <w:t>13775888007</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12</w:t>
            </w:r>
          </w:p>
        </w:tc>
        <w:tc>
          <w:tcPr>
            <w:tcW w:w="1559" w:type="dxa"/>
            <w:vMerge w:val="continue"/>
            <w:vAlign w:val="center"/>
          </w:tcPr>
          <w:p>
            <w:pPr>
              <w:adjustRightInd w:val="0"/>
              <w:snapToGrid w:val="0"/>
              <w:jc w:val="center"/>
              <w:rPr>
                <w:rFonts w:hint="default" w:ascii="Times New Roman" w:hAnsi="Times New Roman" w:eastAsia="仿宋" w:cs="Times New Roman"/>
                <w:color w:val="auto"/>
                <w:sz w:val="21"/>
                <w:szCs w:val="21"/>
              </w:rPr>
            </w:pPr>
          </w:p>
        </w:tc>
        <w:tc>
          <w:tcPr>
            <w:tcW w:w="280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贾汪区环境监测</w:t>
            </w:r>
          </w:p>
        </w:tc>
        <w:tc>
          <w:tcPr>
            <w:tcW w:w="2107" w:type="dxa"/>
            <w:vMerge w:val="continue"/>
            <w:vAlign w:val="center"/>
          </w:tcPr>
          <w:p>
            <w:pPr>
              <w:adjustRightInd w:val="0"/>
              <w:snapToGrid w:val="0"/>
              <w:jc w:val="center"/>
              <w:rPr>
                <w:rFonts w:hint="eastAsia" w:ascii="Times New Roman" w:hAnsi="Times New Roman" w:eastAsia="仿宋" w:cs="Times New Roman"/>
                <w:b/>
                <w:color w:val="auto"/>
                <w:sz w:val="21"/>
                <w:szCs w:val="21"/>
                <w:lang w:eastAsia="zh-CN"/>
              </w:rPr>
            </w:pPr>
          </w:p>
        </w:tc>
        <w:tc>
          <w:tcPr>
            <w:tcW w:w="1605" w:type="dxa"/>
            <w:vAlign w:val="center"/>
          </w:tcPr>
          <w:p>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color w:val="auto"/>
                <w:kern w:val="0"/>
                <w:sz w:val="21"/>
                <w:szCs w:val="21"/>
              </w:rPr>
              <w:t>0516-68386096</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709" w:type="dxa"/>
            <w:vAlign w:val="center"/>
          </w:tcPr>
          <w:p>
            <w:pPr>
              <w:adjustRightInd w:val="0"/>
              <w:snapToGrid w:val="0"/>
              <w:jc w:val="center"/>
              <w:rPr>
                <w:rFonts w:hint="default" w:ascii="Times New Roman" w:hAnsi="Times New Roman" w:eastAsia="仿宋" w:cs="Times New Roman"/>
                <w:b/>
                <w:color w:val="auto"/>
                <w:sz w:val="21"/>
                <w:szCs w:val="21"/>
                <w:lang w:val="en-US" w:eastAsia="zh-CN"/>
              </w:rPr>
            </w:pPr>
            <w:r>
              <w:rPr>
                <w:rFonts w:hint="eastAsia" w:ascii="Times New Roman" w:hAnsi="Times New Roman" w:eastAsia="仿宋" w:cs="Times New Roman"/>
                <w:b/>
                <w:color w:val="auto"/>
                <w:sz w:val="21"/>
                <w:szCs w:val="21"/>
                <w:lang w:val="en-US" w:eastAsia="zh-CN"/>
              </w:rPr>
              <w:t>13</w:t>
            </w:r>
          </w:p>
        </w:tc>
        <w:tc>
          <w:tcPr>
            <w:tcW w:w="1559" w:type="dxa"/>
            <w:vAlign w:val="center"/>
          </w:tcPr>
          <w:p>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应急指挥场所</w:t>
            </w:r>
          </w:p>
        </w:tc>
        <w:tc>
          <w:tcPr>
            <w:tcW w:w="2809" w:type="dxa"/>
            <w:vAlign w:val="center"/>
          </w:tcPr>
          <w:p>
            <w:pPr>
              <w:adjustRightInd w:val="0"/>
              <w:snapToGrid w:val="0"/>
              <w:jc w:val="center"/>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贾汪区人民政府</w:t>
            </w:r>
          </w:p>
        </w:tc>
        <w:tc>
          <w:tcPr>
            <w:tcW w:w="2107" w:type="dxa"/>
            <w:vAlign w:val="center"/>
          </w:tcPr>
          <w:p>
            <w:pPr>
              <w:adjustRightInd w:val="0"/>
              <w:snapToGrid w:val="0"/>
              <w:jc w:val="center"/>
              <w:rPr>
                <w:rFonts w:hint="eastAsia" w:ascii="Times New Roman" w:hAnsi="Times New Roman" w:eastAsia="仿宋" w:cs="Times New Roman"/>
                <w:b/>
                <w:color w:val="auto"/>
                <w:sz w:val="21"/>
                <w:szCs w:val="21"/>
                <w:lang w:eastAsia="zh-CN"/>
              </w:rPr>
            </w:pPr>
            <w:r>
              <w:rPr>
                <w:rFonts w:hint="eastAsia" w:ascii="Times New Roman" w:hAnsi="Times New Roman" w:eastAsia="仿宋" w:cs="Times New Roman"/>
                <w:b/>
                <w:color w:val="auto"/>
                <w:sz w:val="21"/>
                <w:szCs w:val="21"/>
                <w:lang w:eastAsia="zh-CN"/>
              </w:rPr>
              <w:t>指挥企业及救援单位展开救援工作</w:t>
            </w:r>
          </w:p>
        </w:tc>
        <w:tc>
          <w:tcPr>
            <w:tcW w:w="1605" w:type="dxa"/>
            <w:vAlign w:val="center"/>
          </w:tcPr>
          <w:p>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color w:val="auto"/>
                <w:sz w:val="21"/>
                <w:szCs w:val="21"/>
              </w:rPr>
              <w:t>0516-66889267</w:t>
            </w:r>
          </w:p>
        </w:tc>
      </w:tr>
    </w:tbl>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4、报警内容</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报警和通讯内容包括：突发环境事件的发生时间、地点、信息来源、事件起因和性质、基本过程、主要污染物和数量、人员受害情况、饮用水水源地等环境敏感点受影响情况、事件发展趋势、处置情况、拟采取的措施以及下一步工作建议等初步情况，并提供可能受到突发环境事件影响的环境敏感点的分布示意图。</w:t>
      </w:r>
    </w:p>
    <w:p>
      <w:pPr>
        <w:pStyle w:val="4"/>
        <w:keepNext/>
        <w:keepLines/>
        <w:widowControl w:val="0"/>
        <w:adjustRightInd w:val="0"/>
        <w:snapToGrid w:val="0"/>
        <w:spacing w:beforeLines="50" w:afterLines="50" w:line="480" w:lineRule="exact"/>
        <w:ind w:left="0"/>
        <w:jc w:val="both"/>
        <w:outlineLvl w:val="0"/>
        <w:rPr>
          <w:rFonts w:hint="default" w:ascii="Times New Roman" w:hAnsi="Times New Roman" w:eastAsia="仿宋" w:cs="Times New Roman"/>
          <w:b/>
          <w:color w:val="auto"/>
          <w:sz w:val="32"/>
          <w:szCs w:val="32"/>
        </w:rPr>
      </w:pPr>
      <w:bookmarkStart w:id="270" w:name="_Toc525292677"/>
      <w:bookmarkStart w:id="271" w:name="_Toc516651856"/>
      <w:bookmarkStart w:id="272" w:name="_Toc7470"/>
      <w:r>
        <w:rPr>
          <w:rFonts w:hint="default" w:ascii="Times New Roman" w:hAnsi="Times New Roman" w:eastAsia="仿宋" w:cs="Times New Roman"/>
          <w:b/>
          <w:color w:val="auto"/>
          <w:sz w:val="32"/>
          <w:szCs w:val="32"/>
        </w:rPr>
        <w:t>6信息报告与通报</w:t>
      </w:r>
      <w:bookmarkEnd w:id="270"/>
      <w:bookmarkEnd w:id="271"/>
      <w:bookmarkEnd w:id="272"/>
      <w:r>
        <w:rPr>
          <w:rFonts w:hint="default" w:ascii="Times New Roman" w:hAnsi="Times New Roman" w:eastAsia="仿宋" w:cs="Times New Roman"/>
          <w:b/>
          <w:color w:val="auto"/>
          <w:sz w:val="32"/>
          <w:szCs w:val="32"/>
        </w:rPr>
        <w:t xml:space="preserve">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根据《国家突发环境事件应急预案》及有关规定，在突发环境事件发生后需对事故情况进行报告及通报。突发环境事件的报告分为初报、续报和处理结果报告（终报）。初报在发现或者得知突发环境事件后首次上报；续报在查清有关基本情况、事件发展情况后随时上报；处理结果报告在突发环境事件处理完毕后上报。 </w:t>
      </w:r>
    </w:p>
    <w:p>
      <w:pPr>
        <w:pStyle w:val="5"/>
        <w:keepNext/>
        <w:keepLines/>
        <w:widowControl w:val="0"/>
        <w:adjustRightInd w:val="0"/>
        <w:snapToGrid w:val="0"/>
        <w:spacing w:beforeLines="50" w:afterLines="50" w:line="480" w:lineRule="exact"/>
        <w:ind w:left="0"/>
        <w:jc w:val="both"/>
        <w:outlineLvl w:val="1"/>
        <w:rPr>
          <w:rFonts w:hint="default" w:ascii="Times New Roman" w:hAnsi="Times New Roman" w:eastAsia="仿宋" w:cs="Times New Roman"/>
          <w:b/>
          <w:color w:val="auto"/>
          <w:sz w:val="30"/>
          <w:szCs w:val="30"/>
        </w:rPr>
      </w:pPr>
      <w:bookmarkStart w:id="273" w:name="_Toc516651857"/>
      <w:bookmarkStart w:id="274" w:name="_Toc13611"/>
      <w:bookmarkStart w:id="275" w:name="_Toc525292678"/>
      <w:r>
        <w:rPr>
          <w:rFonts w:hint="default" w:ascii="Times New Roman" w:hAnsi="Times New Roman" w:eastAsia="仿宋" w:cs="Times New Roman"/>
          <w:b/>
          <w:color w:val="auto"/>
          <w:sz w:val="30"/>
          <w:szCs w:val="30"/>
        </w:rPr>
        <w:t>6.1 内部报告时限和程序</w:t>
      </w:r>
      <w:bookmarkEnd w:id="273"/>
      <w:bookmarkEnd w:id="274"/>
      <w:bookmarkEnd w:id="275"/>
    </w:p>
    <w:p>
      <w:pPr>
        <w:ind w:firstLine="568" w:firstLineChars="202"/>
        <w:rPr>
          <w:rFonts w:hint="eastAsia" w:ascii="Times New Roman" w:hAnsi="Times New Roman" w:eastAsia="仿宋" w:cs="Times New Roman"/>
          <w:b/>
          <w:bCs/>
          <w:color w:val="auto"/>
          <w:sz w:val="28"/>
          <w:szCs w:val="28"/>
          <w:lang w:val="en-US" w:eastAsia="zh-CN"/>
        </w:rPr>
      </w:pPr>
      <w:bookmarkStart w:id="276" w:name="_Toc341522489"/>
      <w:bookmarkStart w:id="277" w:name="_Toc321051100"/>
      <w:bookmarkStart w:id="278" w:name="_Toc260658490"/>
      <w:r>
        <w:rPr>
          <w:rFonts w:hint="eastAsia" w:ascii="Times New Roman" w:hAnsi="Times New Roman" w:eastAsia="仿宋" w:cs="Times New Roman"/>
          <w:b/>
          <w:bCs/>
          <w:color w:val="auto"/>
          <w:sz w:val="28"/>
          <w:szCs w:val="28"/>
          <w:lang w:val="en-US" w:eastAsia="zh-CN"/>
        </w:rPr>
        <w:t>6.1.1内部报告的责任主体</w:t>
      </w:r>
      <w:bookmarkEnd w:id="276"/>
    </w:p>
    <w:bookmarkEnd w:id="277"/>
    <w:bookmarkEnd w:id="278"/>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（1）突发事故部门和指挥部为逐级责任报告部门；事故风险源的岗位员工和第一发现者以及责任报告部门和指挥部的负责人为逐级责任报告人。</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（2）任何单位和个人有义务向公司突发环境事件应急指挥机构报告突发环境事件，有权举报不履行或者不按照规定履行突发环境事件应急处理职责的部门、单位及个人。</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（3）对群众举报的突发环境事件，无论属于哪个部门主管的，接报部门应立即向应急指挥中心报告。</w:t>
      </w:r>
    </w:p>
    <w:p>
      <w:pPr>
        <w:ind w:firstLine="568" w:firstLineChars="202"/>
        <w:rPr>
          <w:rFonts w:hint="eastAsia" w:ascii="Times New Roman" w:hAnsi="Times New Roman" w:eastAsia="仿宋" w:cs="Times New Roman"/>
          <w:b/>
          <w:bCs/>
          <w:color w:val="auto"/>
          <w:sz w:val="28"/>
          <w:szCs w:val="28"/>
          <w:lang w:val="en-US" w:eastAsia="zh-CN"/>
        </w:rPr>
      </w:pPr>
      <w:bookmarkStart w:id="279" w:name="_Toc421862941"/>
      <w:bookmarkStart w:id="280" w:name="_Toc341522490"/>
      <w:bookmarkStart w:id="281" w:name="_Toc387758283"/>
      <w:r>
        <w:rPr>
          <w:rFonts w:hint="eastAsia" w:ascii="Times New Roman" w:hAnsi="Times New Roman" w:eastAsia="仿宋" w:cs="Times New Roman"/>
          <w:b/>
          <w:bCs/>
          <w:color w:val="auto"/>
          <w:sz w:val="28"/>
          <w:szCs w:val="28"/>
          <w:lang w:val="en-US" w:eastAsia="zh-CN"/>
        </w:rPr>
        <w:t>6.1.2报告原则</w:t>
      </w:r>
      <w:bookmarkEnd w:id="279"/>
      <w:bookmarkEnd w:id="280"/>
      <w:bookmarkEnd w:id="281"/>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（1）按照“早发现、早报告、早处置”的原则，一旦发现突发环境事件信息，污染源岗位员工或第一发现者应视突发事故性质，可能造成的影响和危害程度，及时逐级上报信息。</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（2）一旦出现突发环境事件影响范围超出本公司范围的态势，公司指挥部要根据紧急处置工作的需要，及时向上级有关部门、应急指挥小组报告，共同协调指挥下做好处置工作。</w:t>
      </w:r>
    </w:p>
    <w:p>
      <w:pPr>
        <w:ind w:firstLine="568" w:firstLineChars="202"/>
        <w:rPr>
          <w:rFonts w:hint="eastAsia" w:ascii="Times New Roman" w:hAnsi="Times New Roman" w:eastAsia="仿宋" w:cs="Times New Roman"/>
          <w:b/>
          <w:bCs/>
          <w:color w:val="auto"/>
          <w:sz w:val="28"/>
          <w:szCs w:val="28"/>
          <w:lang w:val="en-US" w:eastAsia="zh-CN"/>
        </w:rPr>
      </w:pPr>
      <w:bookmarkStart w:id="282" w:name="_Toc421862942"/>
      <w:bookmarkStart w:id="283" w:name="_Toc341522491"/>
      <w:bookmarkStart w:id="284" w:name="_Toc387758284"/>
      <w:r>
        <w:rPr>
          <w:rFonts w:hint="eastAsia" w:ascii="Times New Roman" w:hAnsi="Times New Roman" w:eastAsia="仿宋" w:cs="Times New Roman"/>
          <w:b/>
          <w:bCs/>
          <w:color w:val="auto"/>
          <w:sz w:val="28"/>
          <w:szCs w:val="28"/>
          <w:lang w:val="en-US" w:eastAsia="zh-CN"/>
        </w:rPr>
        <w:t>6.1.3内部报告时限</w:t>
      </w:r>
      <w:bookmarkEnd w:id="282"/>
      <w:bookmarkEnd w:id="283"/>
      <w:bookmarkEnd w:id="284"/>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（1）突发环境事件所在部门在第一时间内向公司应急指挥小组报告同时组织职工进行自救互救。</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（2）公司指挥小组接报后立即向公司应急总指挥报告，公司负责人接报后立即向徐州市贾汪区生态环境局报告。</w:t>
      </w:r>
    </w:p>
    <w:p>
      <w:pPr>
        <w:pStyle w:val="5"/>
        <w:keepNext/>
        <w:keepLines/>
        <w:widowControl w:val="0"/>
        <w:adjustRightInd w:val="0"/>
        <w:snapToGrid w:val="0"/>
        <w:spacing w:beforeLines="50" w:afterLines="50" w:line="480" w:lineRule="exact"/>
        <w:ind w:left="0"/>
        <w:jc w:val="both"/>
        <w:outlineLvl w:val="1"/>
        <w:rPr>
          <w:rFonts w:hint="eastAsia" w:ascii="Times New Roman" w:hAnsi="Times New Roman" w:eastAsia="仿宋" w:cs="Times New Roman"/>
          <w:b/>
          <w:color w:val="auto"/>
          <w:sz w:val="30"/>
          <w:szCs w:val="30"/>
          <w:lang w:eastAsia="zh-CN"/>
        </w:rPr>
      </w:pPr>
      <w:bookmarkStart w:id="285" w:name="_Toc516651858"/>
      <w:bookmarkStart w:id="286" w:name="_Toc525292679"/>
      <w:bookmarkStart w:id="287" w:name="_Toc10532"/>
      <w:r>
        <w:rPr>
          <w:rFonts w:hint="default" w:ascii="Times New Roman" w:hAnsi="Times New Roman" w:eastAsia="仿宋" w:cs="Times New Roman"/>
          <w:b/>
          <w:color w:val="auto"/>
          <w:sz w:val="30"/>
          <w:szCs w:val="30"/>
        </w:rPr>
        <w:t>6.2</w:t>
      </w:r>
      <w:bookmarkEnd w:id="285"/>
      <w:bookmarkEnd w:id="286"/>
      <w:r>
        <w:rPr>
          <w:rFonts w:hint="eastAsia" w:ascii="Times New Roman" w:hAnsi="Times New Roman" w:eastAsia="仿宋" w:cs="Times New Roman"/>
          <w:b/>
          <w:color w:val="auto"/>
          <w:sz w:val="30"/>
          <w:szCs w:val="30"/>
          <w:lang w:eastAsia="zh-CN"/>
        </w:rPr>
        <w:t>信息上报</w:t>
      </w:r>
      <w:bookmarkEnd w:id="287"/>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当突发环境事件已经或可能对外环境造成影响时，公司应急总指挥应立即公司应急总指挥应立即上报徐州市贾汪区生态环境局报告，紧急情况下，可以越级上报至徐州市人民政府和徐州市生态环境局。在后续的应急救援过程中，随时上报救援的进展情况。报告内容包括事件发生的时间、地点、处理处置情况、波及范围、周边环境保护目标受灾情况、需要提供的协助等。</w:t>
      </w:r>
    </w:p>
    <w:p>
      <w:pPr>
        <w:pStyle w:val="5"/>
        <w:keepNext/>
        <w:keepLines/>
        <w:widowControl w:val="0"/>
        <w:adjustRightInd w:val="0"/>
        <w:snapToGrid w:val="0"/>
        <w:spacing w:beforeLines="50" w:afterLines="50" w:line="480" w:lineRule="exact"/>
        <w:ind w:left="0"/>
        <w:jc w:val="both"/>
        <w:rPr>
          <w:rFonts w:hint="eastAsia" w:ascii="Times New Roman" w:hAnsi="Times New Roman" w:eastAsia="宋体" w:cs="Times New Roman"/>
          <w:b/>
          <w:bCs/>
          <w:color w:val="auto"/>
          <w:sz w:val="30"/>
          <w:szCs w:val="30"/>
          <w:lang w:eastAsia="zh-CN"/>
        </w:rPr>
      </w:pPr>
      <w:bookmarkStart w:id="288" w:name="_Toc17558"/>
      <w:r>
        <w:rPr>
          <w:rFonts w:hint="eastAsia" w:ascii="Times New Roman" w:hAnsi="Times New Roman" w:eastAsia="宋体" w:cs="Times New Roman"/>
          <w:b/>
          <w:bCs/>
          <w:color w:val="auto"/>
          <w:sz w:val="30"/>
          <w:szCs w:val="30"/>
          <w:lang w:val="en-US" w:eastAsia="zh-CN"/>
        </w:rPr>
        <w:t>6</w:t>
      </w:r>
      <w:r>
        <w:rPr>
          <w:rFonts w:hint="eastAsia" w:ascii="Times New Roman" w:hAnsi="Times New Roman" w:eastAsia="仿宋" w:cs="Times New Roman"/>
          <w:b/>
          <w:color w:val="auto"/>
          <w:sz w:val="30"/>
          <w:szCs w:val="30"/>
          <w:lang w:val="en-US" w:eastAsia="zh-CN"/>
        </w:rPr>
        <w:t>.3</w:t>
      </w:r>
      <w:r>
        <w:rPr>
          <w:rFonts w:hint="eastAsia" w:ascii="Times New Roman" w:hAnsi="Times New Roman" w:eastAsia="仿宋" w:cs="Times New Roman"/>
          <w:b/>
          <w:color w:val="auto"/>
          <w:sz w:val="30"/>
          <w:szCs w:val="30"/>
          <w:lang w:eastAsia="zh-CN"/>
        </w:rPr>
        <w:t>信息通报</w:t>
      </w:r>
      <w:bookmarkEnd w:id="288"/>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公司应急指挥组负责人及时有效的通过电话、公示等形式向环境突发事件可能影响的区域通报突发事件的情况，主要通报内容：环境事件的类型、发生时间、地点、污染源、主要污染物质的种类、数量、事件潜在的危害程度、转化方式趋向等初步情况，告知周边居民及企业等第三方和公众风险内容。</w:t>
      </w:r>
    </w:p>
    <w:p>
      <w:pPr>
        <w:pStyle w:val="5"/>
        <w:keepNext/>
        <w:keepLines/>
        <w:widowControl w:val="0"/>
        <w:adjustRightInd w:val="0"/>
        <w:snapToGrid w:val="0"/>
        <w:spacing w:beforeLines="50" w:afterLines="50" w:line="480" w:lineRule="exact"/>
        <w:ind w:left="0"/>
        <w:jc w:val="both"/>
        <w:rPr>
          <w:rFonts w:hint="eastAsia" w:ascii="Times New Roman" w:hAnsi="Times New Roman" w:eastAsia="仿宋" w:cs="Times New Roman"/>
          <w:b/>
          <w:color w:val="auto"/>
          <w:sz w:val="30"/>
          <w:szCs w:val="30"/>
          <w:lang w:val="en-US" w:eastAsia="zh-CN"/>
        </w:rPr>
      </w:pPr>
      <w:bookmarkStart w:id="289" w:name="_Toc19099"/>
      <w:r>
        <w:rPr>
          <w:rFonts w:hint="eastAsia" w:ascii="Times New Roman" w:hAnsi="Times New Roman" w:eastAsia="仿宋" w:cs="Times New Roman"/>
          <w:b/>
          <w:color w:val="auto"/>
          <w:sz w:val="30"/>
          <w:szCs w:val="30"/>
          <w:lang w:val="en-US" w:eastAsia="zh-CN"/>
        </w:rPr>
        <w:t>6.4事件报告内容</w:t>
      </w:r>
      <w:bookmarkEnd w:id="289"/>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1）初报应当报告突发环境事件的发生时间、地点、信息来源、事件起因和性质、基本过程、主要污染物和数量、监测数据、人员受害情况、周边环境保护目标受影响情况、事件发展趋势、处置情况、拟采取的措施以及下一步工作建议等初步情况，并提供可能受到突发环境事件影响的环境敏感点的分布示意图。</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（2）续报应当在初报的基础上，报告有关处置进展情况。</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（3）处理结果报告应当在初报和续报的基础上，报告处理突发环境事件的措施、过程和结果，突发环境事件潜在或者间接危害以及损失、社会影响、处理后的遗留问题、责任追究等详细情祝。</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（4）突发环境事件信息应当采用传真、网络、邮寄和面呈等方式书面报告；情况紧急时，初报可通过电话报告，但应当及时补充书面报告。</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（5）书面报告中应当载明突发环境事件报告单位、报告签发人、联系人及联系方式等内容，并尽可能提供地图、图片以及相关的多媒体资料。</w:t>
      </w:r>
    </w:p>
    <w:p>
      <w:pPr>
        <w:pStyle w:val="4"/>
        <w:keepNext/>
        <w:keepLines/>
        <w:widowControl w:val="0"/>
        <w:adjustRightInd w:val="0"/>
        <w:snapToGrid w:val="0"/>
        <w:spacing w:beforeLines="50" w:afterLines="50" w:line="480" w:lineRule="exact"/>
        <w:ind w:left="0"/>
        <w:jc w:val="both"/>
        <w:outlineLvl w:val="0"/>
        <w:rPr>
          <w:rFonts w:hint="default" w:ascii="Times New Roman" w:hAnsi="Times New Roman" w:eastAsia="仿宋" w:cs="Times New Roman"/>
          <w:b/>
          <w:color w:val="auto"/>
          <w:sz w:val="32"/>
          <w:szCs w:val="32"/>
        </w:rPr>
      </w:pPr>
      <w:bookmarkStart w:id="290" w:name="_Toc525292682"/>
      <w:bookmarkStart w:id="291" w:name="_Toc13360"/>
      <w:bookmarkStart w:id="292" w:name="_Toc516651861"/>
      <w:r>
        <w:rPr>
          <w:rFonts w:hint="default" w:ascii="Times New Roman" w:hAnsi="Times New Roman" w:eastAsia="仿宋" w:cs="Times New Roman"/>
          <w:b/>
          <w:color w:val="auto"/>
          <w:sz w:val="32"/>
          <w:szCs w:val="32"/>
        </w:rPr>
        <w:t>7应急响应与措施</w:t>
      </w:r>
      <w:bookmarkEnd w:id="290"/>
      <w:bookmarkEnd w:id="291"/>
      <w:bookmarkEnd w:id="292"/>
      <w:r>
        <w:rPr>
          <w:rFonts w:hint="default" w:ascii="Times New Roman" w:hAnsi="Times New Roman" w:eastAsia="仿宋" w:cs="Times New Roman"/>
          <w:b/>
          <w:color w:val="auto"/>
          <w:sz w:val="32"/>
          <w:szCs w:val="32"/>
        </w:rPr>
        <w:t xml:space="preserve"> </w:t>
      </w:r>
    </w:p>
    <w:p>
      <w:pPr>
        <w:pStyle w:val="5"/>
        <w:keepNext/>
        <w:keepLines/>
        <w:widowControl w:val="0"/>
        <w:adjustRightInd w:val="0"/>
        <w:snapToGrid w:val="0"/>
        <w:spacing w:beforeLines="50" w:afterLines="50" w:line="480" w:lineRule="exact"/>
        <w:ind w:left="0"/>
        <w:jc w:val="both"/>
        <w:rPr>
          <w:rFonts w:hint="default" w:ascii="Times New Roman" w:hAnsi="Times New Roman" w:eastAsia="仿宋" w:cs="Times New Roman"/>
          <w:b/>
          <w:color w:val="auto"/>
          <w:sz w:val="30"/>
          <w:szCs w:val="30"/>
          <w:lang w:val="en-US" w:eastAsia="zh-CN"/>
        </w:rPr>
      </w:pPr>
      <w:bookmarkStart w:id="293" w:name="_Toc13941"/>
      <w:bookmarkStart w:id="294" w:name="_Toc525292683"/>
      <w:bookmarkStart w:id="295" w:name="_Toc516651862"/>
      <w:r>
        <w:rPr>
          <w:rFonts w:hint="default" w:ascii="Times New Roman" w:hAnsi="Times New Roman" w:eastAsia="仿宋" w:cs="Times New Roman"/>
          <w:b/>
          <w:color w:val="auto"/>
          <w:sz w:val="30"/>
          <w:szCs w:val="30"/>
          <w:lang w:val="en-US" w:eastAsia="zh-CN"/>
        </w:rPr>
        <w:t>7.1 突发环境事件分级响应机制</w:t>
      </w:r>
      <w:bookmarkEnd w:id="293"/>
    </w:p>
    <w:p>
      <w:pPr>
        <w:pStyle w:val="6"/>
        <w:widowControl w:val="0"/>
        <w:wordWrap/>
        <w:adjustRightInd/>
        <w:snapToGrid w:val="0"/>
        <w:spacing w:before="0" w:beforeAutospacing="0" w:after="0" w:line="360" w:lineRule="auto"/>
        <w:ind w:left="0"/>
        <w:textAlignment w:val="auto"/>
        <w:outlineLvl w:val="2"/>
        <w:rPr>
          <w:rFonts w:hint="default" w:ascii="Times New Roman" w:hAnsi="Times New Roman" w:eastAsia="仿宋" w:cs="Times New Roman"/>
          <w:b/>
          <w:bCs/>
          <w:color w:val="auto"/>
          <w:sz w:val="28"/>
          <w:szCs w:val="28"/>
          <w:lang w:val="en-US" w:eastAsia="zh-CN"/>
        </w:rPr>
      </w:pPr>
      <w:bookmarkStart w:id="296" w:name="_Toc7369"/>
      <w:r>
        <w:rPr>
          <w:rFonts w:hint="eastAsia" w:ascii="Times New Roman" w:hAnsi="Times New Roman" w:eastAsia="仿宋" w:cs="Times New Roman"/>
          <w:b/>
          <w:bCs/>
          <w:color w:val="auto"/>
          <w:sz w:val="28"/>
          <w:szCs w:val="28"/>
          <w:lang w:val="en-US" w:eastAsia="zh-CN"/>
        </w:rPr>
        <w:t>7.1.1突发环境事件</w:t>
      </w:r>
      <w:r>
        <w:rPr>
          <w:rFonts w:hint="default" w:ascii="Times New Roman" w:hAnsi="Times New Roman" w:eastAsia="仿宋" w:cs="Times New Roman"/>
          <w:b/>
          <w:bCs/>
          <w:color w:val="auto"/>
          <w:sz w:val="28"/>
          <w:szCs w:val="28"/>
          <w:lang w:val="en-US" w:eastAsia="zh-CN"/>
        </w:rPr>
        <w:t>分级</w:t>
      </w:r>
      <w:bookmarkEnd w:id="294"/>
      <w:bookmarkEnd w:id="295"/>
      <w:bookmarkEnd w:id="296"/>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照突发事件严重性、紧急程度、危害程度、影响范围、单位内部控制事态的能力，确定厂区可能发生的环境事件的级别，突发环境事件可分为社会级（一级）、企事业单位级（二级）和车间级（三级）。突发环境事件应急响应坚持以企业自身为主的原则，厂区突发环境事件应急指挥部按照有关规定负责本公司内突发环境事件应急处置工作。</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预案响应条件：当发生企业内部可以控制的环境污染事故时，启动本预案，即企业内部人员控制及相临单位人力、物力支持，Ⅲ级以下预案响应由事故应急指挥部副总指挥作为现场负责人，统一指挥调度救援工作和开展事故处置措施。</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在启动预案响应时，应及时安排应急救援抢险专业小组关闭各类排水口应急阀门，启用事故应急池，以避免消防废水和事故废水进入外部环境。当可能或已经发生的突发环境事件类型达到Ⅱ级时，且事故对公司的环境安全已构成严重影响，且已超出公司的边界，外部人员及周边企业已受到事故直接影响。此时应立即启动</w:t>
      </w:r>
      <w:r>
        <w:rPr>
          <w:rFonts w:hint="eastAsia" w:ascii="仿宋" w:hAnsi="仿宋" w:eastAsia="仿宋" w:cs="仿宋"/>
          <w:color w:val="auto"/>
          <w:sz w:val="28"/>
          <w:szCs w:val="28"/>
          <w:lang w:val="en-US" w:eastAsia="zh-CN"/>
        </w:rPr>
        <w:t>Ⅰ</w:t>
      </w:r>
      <w:r>
        <w:rPr>
          <w:rFonts w:hint="eastAsia" w:ascii="Times New Roman" w:hAnsi="Times New Roman" w:eastAsia="仿宋" w:cs="Times New Roman"/>
          <w:color w:val="auto"/>
          <w:sz w:val="28"/>
          <w:szCs w:val="28"/>
          <w:lang w:val="en-US" w:eastAsia="zh-CN"/>
        </w:rPr>
        <w:t>、</w:t>
      </w:r>
      <w:r>
        <w:rPr>
          <w:rFonts w:hint="eastAsia" w:ascii="仿宋" w:hAnsi="仿宋" w:eastAsia="仿宋" w:cs="仿宋"/>
          <w:color w:val="auto"/>
          <w:sz w:val="28"/>
          <w:szCs w:val="28"/>
          <w:lang w:val="en-US" w:eastAsia="zh-CN"/>
        </w:rPr>
        <w:t>Ⅱ</w:t>
      </w:r>
      <w:r>
        <w:rPr>
          <w:rFonts w:hint="eastAsia" w:ascii="Times New Roman" w:hAnsi="Times New Roman" w:eastAsia="仿宋" w:cs="Times New Roman"/>
          <w:color w:val="auto"/>
          <w:sz w:val="28"/>
          <w:szCs w:val="28"/>
          <w:lang w:val="en-US" w:eastAsia="zh-CN"/>
        </w:rPr>
        <w:t>级应急响应，需借助公司所有力量、当地政府、公安消防、环境保护、安全监督、交通运输、医院等部门的力量，此时需启动贾汪区应急预案。若不能及时正确处理可能造成事态的扩大和危险的升级。并按专项应急处理措施执行。</w:t>
      </w:r>
    </w:p>
    <w:p>
      <w:pPr>
        <w:pStyle w:val="6"/>
        <w:widowControl w:val="0"/>
        <w:wordWrap/>
        <w:adjustRightInd/>
        <w:snapToGrid w:val="0"/>
        <w:spacing w:beforeLines="50" w:beforeAutospacing="0" w:afterLines="50" w:line="240" w:lineRule="auto"/>
        <w:ind w:left="0"/>
        <w:textAlignment w:val="auto"/>
        <w:outlineLvl w:val="2"/>
        <w:rPr>
          <w:rFonts w:hint="default" w:ascii="Times New Roman" w:hAnsi="Times New Roman" w:eastAsia="仿宋" w:cs="Times New Roman"/>
          <w:b/>
          <w:bCs/>
          <w:color w:val="auto"/>
          <w:sz w:val="28"/>
          <w:szCs w:val="28"/>
          <w:lang w:val="en-US" w:eastAsia="zh-CN"/>
        </w:rPr>
      </w:pPr>
      <w:bookmarkStart w:id="297" w:name="_Toc525292684"/>
      <w:bookmarkStart w:id="298" w:name="_Toc516651863"/>
      <w:bookmarkStart w:id="299" w:name="_Toc25558"/>
      <w:r>
        <w:rPr>
          <w:rFonts w:hint="eastAsia" w:ascii="Times New Roman" w:hAnsi="Times New Roman" w:eastAsia="仿宋" w:cs="Times New Roman"/>
          <w:b/>
          <w:bCs/>
          <w:color w:val="auto"/>
          <w:sz w:val="28"/>
          <w:szCs w:val="28"/>
          <w:lang w:val="en-US" w:eastAsia="zh-CN"/>
        </w:rPr>
        <w:t>7</w:t>
      </w:r>
      <w:r>
        <w:rPr>
          <w:rFonts w:hint="default" w:ascii="Times New Roman" w:hAnsi="Times New Roman" w:eastAsia="仿宋" w:cs="Times New Roman"/>
          <w:b/>
          <w:bCs/>
          <w:color w:val="auto"/>
          <w:sz w:val="28"/>
          <w:szCs w:val="28"/>
          <w:lang w:val="en-US" w:eastAsia="zh-CN"/>
        </w:rPr>
        <w:t>.</w:t>
      </w:r>
      <w:r>
        <w:rPr>
          <w:rFonts w:hint="eastAsia" w:ascii="Times New Roman" w:hAnsi="Times New Roman" w:eastAsia="仿宋" w:cs="Times New Roman"/>
          <w:b/>
          <w:bCs/>
          <w:color w:val="auto"/>
          <w:sz w:val="28"/>
          <w:szCs w:val="28"/>
          <w:lang w:val="en-US" w:eastAsia="zh-CN"/>
        </w:rPr>
        <w:t>1.</w:t>
      </w:r>
      <w:r>
        <w:rPr>
          <w:rFonts w:hint="default" w:ascii="Times New Roman" w:hAnsi="Times New Roman" w:eastAsia="仿宋" w:cs="Times New Roman"/>
          <w:b/>
          <w:bCs/>
          <w:color w:val="auto"/>
          <w:sz w:val="28"/>
          <w:szCs w:val="28"/>
          <w:lang w:val="en-US" w:eastAsia="zh-CN"/>
        </w:rPr>
        <w:t>2</w:t>
      </w:r>
      <w:r>
        <w:rPr>
          <w:rFonts w:hint="eastAsia" w:ascii="Times New Roman" w:hAnsi="Times New Roman" w:eastAsia="仿宋" w:cs="Times New Roman"/>
          <w:b/>
          <w:bCs/>
          <w:color w:val="auto"/>
          <w:sz w:val="28"/>
          <w:szCs w:val="28"/>
          <w:lang w:val="en-US" w:eastAsia="zh-CN"/>
        </w:rPr>
        <w:t>应急响应程序</w:t>
      </w:r>
      <w:bookmarkEnd w:id="297"/>
      <w:bookmarkEnd w:id="298"/>
      <w:bookmarkEnd w:id="299"/>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应急救援指挥部接到事件报告后，立即了解事件情况，并调出指挥部储存的与事件有关的资料(环境风险源、危险物质、敏感保护目标等)，为指挥中心分析事件提供依据；视情由指挥部总指挥或副总指挥、公司值班领导、相关专家和指挥通信人员，根据事件级别，组成现场指挥部，迅速奔赴事件现场，会同政府部门应急指挥部门，按照事件应急救援预案，做好指挥、领导工作。</w:t>
      </w:r>
    </w:p>
    <w:p>
      <w:pPr>
        <w:pStyle w:val="2"/>
        <w:numPr>
          <w:ilvl w:val="0"/>
          <w:numId w:val="3"/>
        </w:numPr>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三级响应（</w:t>
      </w:r>
      <w:r>
        <w:rPr>
          <w:rFonts w:hint="eastAsia" w:ascii="Times New Roman" w:hAnsi="Times New Roman" w:cs="Times New Roman"/>
          <w:color w:val="auto"/>
          <w:sz w:val="28"/>
          <w:szCs w:val="28"/>
          <w:lang w:val="en-US" w:eastAsia="zh-CN"/>
        </w:rPr>
        <w:t>车间级</w:t>
      </w:r>
      <w:r>
        <w:rPr>
          <w:rFonts w:hint="eastAsia" w:ascii="Times New Roman" w:hAnsi="Times New Roman" w:eastAsia="宋体" w:cs="Times New Roman"/>
          <w:color w:val="auto"/>
          <w:sz w:val="28"/>
          <w:szCs w:val="28"/>
          <w:lang w:val="en-US" w:eastAsia="zh-CN"/>
        </w:rPr>
        <w:t>）</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突发环境事件的范围在厂界内影响厂内局部区域或车间且企事业单位能独立处理。例如小型火警；可能发生小范围或有少量化学危险品泄漏事件；人员轻微伤害事件；一般保安事件。三级应急指挥由值班调度指挥，初期的指挥由班长/安全员，或现场在场最高职务人员组织指挥应急处置。</w:t>
      </w:r>
    </w:p>
    <w:p>
      <w:pPr>
        <w:pStyle w:val="2"/>
        <w:numPr>
          <w:ilvl w:val="0"/>
          <w:numId w:val="3"/>
        </w:numPr>
        <w:ind w:left="0" w:leftChars="0" w:firstLine="0" w:firstLineChars="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二级响应（公司级）</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污染的范围在厂界内且企事业单位能独立处理，例如小面积初期火灾事故；个别人员伤亡、中毒和触电事故；接台风预警或遇突发性恶劣气候时；遇需局部人员撤离的事件。应急指挥由现场指挥组成员执行，依序由生产厂长、生产经理执行，非工作日期间由值班人员或运营部人员执行</w:t>
      </w:r>
    </w:p>
    <w:p>
      <w:pPr>
        <w:pStyle w:val="3"/>
        <w:numPr>
          <w:ilvl w:val="0"/>
          <w:numId w:val="0"/>
        </w:numPr>
        <w:rPr>
          <w:rFonts w:hint="default"/>
          <w:color w:val="auto"/>
          <w:lang w:val="en-US" w:eastAsia="zh-CN"/>
        </w:rPr>
      </w:pPr>
    </w:p>
    <w:p>
      <w:pPr>
        <w:pStyle w:val="2"/>
        <w:numPr>
          <w:ilvl w:val="0"/>
          <w:numId w:val="3"/>
        </w:numPr>
        <w:ind w:left="0" w:leftChars="0" w:firstLine="0" w:firstLineChars="0"/>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一级响应（社会级）</w:t>
      </w:r>
    </w:p>
    <w:p>
      <w:pPr>
        <w:widowControl w:val="0"/>
        <w:wordWrap/>
        <w:adjustRightInd/>
        <w:snapToGrid w:val="0"/>
        <w:spacing w:beforeAutospacing="0" w:line="240" w:lineRule="auto"/>
        <w:ind w:firstLine="560" w:firstLineChars="200"/>
        <w:textAlignment w:val="auto"/>
        <w:rPr>
          <w:rFonts w:hint="default"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当可能或已经发生的突发环境事件类型达到Ⅱ级时，且事故对公司的环境安全已构成严重影响，且已超出公司的边界，外部人员及周边企业已受到事故直接影响。此时应立即启动</w:t>
      </w:r>
      <w:r>
        <w:rPr>
          <w:rFonts w:hint="eastAsia" w:ascii="仿宋" w:hAnsi="仿宋" w:eastAsia="仿宋" w:cs="仿宋"/>
          <w:color w:val="auto"/>
          <w:sz w:val="28"/>
          <w:szCs w:val="28"/>
          <w:lang w:val="en-US" w:eastAsia="zh-CN"/>
        </w:rPr>
        <w:t>Ⅰ</w:t>
      </w:r>
      <w:r>
        <w:rPr>
          <w:rFonts w:hint="eastAsia" w:ascii="Times New Roman" w:hAnsi="Times New Roman" w:eastAsia="仿宋" w:cs="Times New Roman"/>
          <w:color w:val="auto"/>
          <w:sz w:val="28"/>
          <w:szCs w:val="28"/>
          <w:lang w:val="en-US" w:eastAsia="zh-CN"/>
        </w:rPr>
        <w:t>、</w:t>
      </w:r>
      <w:r>
        <w:rPr>
          <w:rFonts w:hint="eastAsia" w:ascii="仿宋" w:hAnsi="仿宋" w:eastAsia="仿宋" w:cs="仿宋"/>
          <w:color w:val="auto"/>
          <w:sz w:val="28"/>
          <w:szCs w:val="28"/>
          <w:lang w:val="en-US" w:eastAsia="zh-CN"/>
        </w:rPr>
        <w:t>Ⅱ</w:t>
      </w:r>
      <w:r>
        <w:rPr>
          <w:rFonts w:hint="eastAsia" w:ascii="Times New Roman" w:hAnsi="Times New Roman" w:eastAsia="仿宋" w:cs="Times New Roman"/>
          <w:color w:val="auto"/>
          <w:sz w:val="28"/>
          <w:szCs w:val="28"/>
          <w:lang w:val="en-US" w:eastAsia="zh-CN"/>
        </w:rPr>
        <w:t>级应急响应，需借助公司所有力量、当地政府、公安消防、环境保护、安全监督、交通运输、医院等部门的力量，此时需启动贾汪区应急预案。若不能及时正确处理可能造成事态的扩大和危险的升级。并按专项应急处理措施执行。</w:t>
      </w:r>
    </w:p>
    <w:p>
      <w:pPr>
        <w:pStyle w:val="5"/>
        <w:keepNext/>
        <w:keepLines/>
        <w:widowControl w:val="0"/>
        <w:wordWrap/>
        <w:adjustRightInd w:val="0"/>
        <w:snapToGrid w:val="0"/>
        <w:spacing w:beforeLines="50" w:beforeAutospacing="0" w:afterLines="50" w:line="240" w:lineRule="auto"/>
        <w:ind w:left="0"/>
        <w:jc w:val="both"/>
        <w:textAlignment w:val="auto"/>
        <w:rPr>
          <w:rFonts w:hint="eastAsia" w:ascii="Times New Roman" w:hAnsi="Times New Roman" w:eastAsia="仿宋" w:cs="Times New Roman"/>
          <w:b/>
          <w:bCs/>
          <w:color w:val="auto"/>
          <w:sz w:val="30"/>
          <w:szCs w:val="30"/>
        </w:rPr>
      </w:pPr>
      <w:bookmarkStart w:id="300" w:name="_Toc525292686"/>
      <w:bookmarkStart w:id="301" w:name="_Toc7230"/>
      <w:r>
        <w:rPr>
          <w:rFonts w:hint="eastAsia" w:ascii="Times New Roman" w:hAnsi="Times New Roman" w:eastAsia="仿宋" w:cs="Times New Roman"/>
          <w:b/>
          <w:bCs/>
          <w:color w:val="auto"/>
          <w:sz w:val="30"/>
          <w:szCs w:val="30"/>
        </w:rPr>
        <w:t>7.</w:t>
      </w:r>
      <w:r>
        <w:rPr>
          <w:rFonts w:hint="eastAsia" w:ascii="Times New Roman" w:hAnsi="Times New Roman" w:cs="Times New Roman"/>
          <w:b/>
          <w:bCs/>
          <w:color w:val="auto"/>
          <w:sz w:val="30"/>
          <w:szCs w:val="30"/>
          <w:lang w:val="en-US" w:eastAsia="zh-CN"/>
        </w:rPr>
        <w:t>2</w:t>
      </w:r>
      <w:r>
        <w:rPr>
          <w:rFonts w:hint="eastAsia" w:ascii="Times New Roman" w:hAnsi="Times New Roman" w:eastAsia="仿宋" w:cs="Times New Roman"/>
          <w:b/>
          <w:bCs/>
          <w:color w:val="auto"/>
          <w:sz w:val="30"/>
          <w:szCs w:val="30"/>
        </w:rPr>
        <w:t>应急措施</w:t>
      </w:r>
      <w:bookmarkEnd w:id="300"/>
      <w:bookmarkEnd w:id="301"/>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该公司突发环境事件主要有下列情况，风险物质泄漏、火灾及爆炸、事故废水排放，采取的应急措施如下：</w:t>
      </w:r>
    </w:p>
    <w:p>
      <w:pPr>
        <w:pStyle w:val="6"/>
        <w:widowControl w:val="0"/>
        <w:wordWrap/>
        <w:adjustRightInd/>
        <w:snapToGrid w:val="0"/>
        <w:spacing w:beforeLines="50" w:beforeAutospacing="0" w:afterLines="50" w:line="240" w:lineRule="auto"/>
        <w:ind w:left="0"/>
        <w:textAlignment w:val="auto"/>
        <w:outlineLvl w:val="2"/>
        <w:rPr>
          <w:rFonts w:hint="eastAsia" w:ascii="Times New Roman" w:hAnsi="Times New Roman" w:eastAsia="仿宋" w:cs="Times New Roman"/>
          <w:b/>
          <w:bCs/>
          <w:color w:val="auto"/>
          <w:sz w:val="28"/>
          <w:szCs w:val="28"/>
          <w:lang w:val="en-US" w:eastAsia="zh-CN"/>
        </w:rPr>
      </w:pPr>
      <w:bookmarkStart w:id="302" w:name="_Toc32548"/>
      <w:bookmarkStart w:id="303" w:name="_Toc5962"/>
      <w:bookmarkStart w:id="304" w:name="_Toc17834"/>
      <w:r>
        <w:rPr>
          <w:rFonts w:hint="eastAsia" w:ascii="Times New Roman" w:hAnsi="Times New Roman" w:eastAsia="仿宋" w:cs="Times New Roman"/>
          <w:b/>
          <w:bCs/>
          <w:color w:val="auto"/>
          <w:sz w:val="28"/>
          <w:szCs w:val="28"/>
          <w:lang w:val="en-US" w:eastAsia="zh-CN"/>
        </w:rPr>
        <w:t>7.2.1风险物质泄漏引发的环境污染事件应急措施</w:t>
      </w:r>
      <w:bookmarkEnd w:id="302"/>
      <w:bookmarkEnd w:id="303"/>
      <w:bookmarkEnd w:id="304"/>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若现场发现液体泄漏，要立即佩戴好空气呼吸器或防毒面具等防护用品赶赴现场，用清水检查是在何处发生泄漏，以便很好的处理。</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如果是发现阀门填料压盖泄漏，当班维修人员要立即拿扳手紧好，平时应保证填料比较充分，及时补加填料。注意在紧压盖时不要用力太猛，以免压盖断裂。</w:t>
      </w:r>
    </w:p>
    <w:p>
      <w:pPr>
        <w:widowControl w:val="0"/>
        <w:wordWrap/>
        <w:adjustRightInd/>
        <w:snapToGrid w:val="0"/>
        <w:spacing w:beforeAutospacing="0" w:line="240" w:lineRule="auto"/>
        <w:ind w:firstLine="560" w:firstLineChars="200"/>
        <w:textAlignment w:val="auto"/>
        <w:rPr>
          <w:rFonts w:hint="eastAsia" w:ascii="仿宋" w:hAnsi="仿宋" w:eastAsia="仿宋" w:cs="仿宋"/>
          <w:color w:val="auto"/>
          <w:sz w:val="28"/>
          <w:szCs w:val="28"/>
          <w:lang w:val="en-US" w:eastAsia="zh-CN"/>
        </w:rPr>
      </w:pPr>
      <w:r>
        <w:rPr>
          <w:rFonts w:hint="eastAsia" w:ascii="Times New Roman" w:hAnsi="Times New Roman" w:eastAsia="仿宋" w:cs="Times New Roman"/>
          <w:color w:val="auto"/>
          <w:sz w:val="28"/>
          <w:szCs w:val="28"/>
          <w:lang w:val="en-US" w:eastAsia="zh-CN"/>
        </w:rPr>
        <w:t>如果发现管道或阀门连接法兰泄漏，要检查是垫片问题还是螺栓松动，紧固螺栓后不再泄漏，保持正常生产，若紧过螺栓仍泄漏而又无法转换到另外的容器中时，则必须立即向车间主任、生产部长、总经理逐级汇报，请求停车处理，更换垫片，如果泄漏处在法兰连接处，则要进行临时处理，可以紧固螺栓，填充生料带，坚持到该物料用尽再处理。</w:t>
      </w:r>
    </w:p>
    <w:p>
      <w:pPr>
        <w:pStyle w:val="6"/>
        <w:widowControl w:val="0"/>
        <w:wordWrap/>
        <w:adjustRightInd/>
        <w:snapToGrid w:val="0"/>
        <w:spacing w:beforeLines="50" w:beforeAutospacing="0" w:afterLines="50" w:line="240" w:lineRule="auto"/>
        <w:ind w:left="0"/>
        <w:textAlignment w:val="auto"/>
        <w:outlineLvl w:val="2"/>
        <w:rPr>
          <w:rFonts w:hint="eastAsia" w:ascii="Times New Roman" w:hAnsi="Times New Roman" w:eastAsia="仿宋" w:cs="Times New Roman"/>
          <w:b/>
          <w:bCs/>
          <w:color w:val="auto"/>
          <w:sz w:val="28"/>
          <w:szCs w:val="28"/>
          <w:lang w:val="en-US" w:eastAsia="zh-CN"/>
        </w:rPr>
      </w:pPr>
      <w:bookmarkStart w:id="305" w:name="_Toc27472"/>
      <w:bookmarkStart w:id="306" w:name="_Toc4746"/>
      <w:bookmarkStart w:id="307" w:name="_Toc11080"/>
      <w:r>
        <w:rPr>
          <w:rFonts w:hint="eastAsia" w:ascii="Times New Roman" w:hAnsi="Times New Roman" w:eastAsia="仿宋" w:cs="Times New Roman"/>
          <w:b/>
          <w:bCs/>
          <w:color w:val="auto"/>
          <w:sz w:val="28"/>
          <w:szCs w:val="28"/>
          <w:lang w:val="en-US" w:eastAsia="zh-CN"/>
        </w:rPr>
        <w:t>7.2.2丙烯酸泄露引发的火灾及爆炸事件应急措施</w:t>
      </w:r>
      <w:bookmarkEnd w:id="305"/>
      <w:bookmarkEnd w:id="306"/>
      <w:bookmarkEnd w:id="307"/>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本项目生产过程中使用的丙烯酸等，有火灾、爆炸的风险，一旦厂区发生火灾、爆炸，将会影响整个厂区。因此，建设项目必须建立完善的事故应急及防范措施，防止各种事故的发生。火灾、爆炸事故发生后，企业应采取以下应急措施：</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（1）各作业岗位停止作业，关闭相关的机泵、电源，转移现场可燃或易燃物品；</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（2）就近人员立即抢救或搜寻可能的受伤、被困人员。</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（3）发现者向总经理报告，总经理接报后视事故严重性向公安局、消防队报警，并向公司应急指挥报告。</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（4）应急消防组成员应立即采用灭火器、消防沙等对丙烯酸等实施隔氧灭火。</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（5）安消防队到场后，由消防指挥员指挥火灾扑救，公司抢险人员协同扑救。</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（6）及时通报周边企业，告知作好相应的防范准备；此外，可与这些企业达成协议，借助其他公司应急资源共同灭火。</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（7）遇火势无法控制，着火点有迹象发生爆炸或危及临近点爆炸时，及时疏散撤离所有人员。</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8）消防尾水通过厂区雨水收集系统和车间罐区的污水收集沟收集，关闭雨水和污水处理阀门，打开应急事故池和初期雨水池的阀门，消防尾水可进入应急事故池和初期雨水池暂存，后经厂区污水处理站处理后排放。</w:t>
      </w:r>
    </w:p>
    <w:p>
      <w:pPr>
        <w:pStyle w:val="2"/>
        <w:rPr>
          <w:rFonts w:hint="eastAsia"/>
          <w:color w:val="auto"/>
          <w:lang w:val="en-US" w:eastAsia="zh-CN"/>
        </w:rPr>
      </w:pPr>
    </w:p>
    <w:p>
      <w:pPr>
        <w:pStyle w:val="6"/>
        <w:widowControl w:val="0"/>
        <w:wordWrap/>
        <w:adjustRightInd/>
        <w:snapToGrid w:val="0"/>
        <w:spacing w:before="0" w:beforeAutospacing="0" w:after="0" w:line="360" w:lineRule="auto"/>
        <w:ind w:left="0"/>
        <w:textAlignment w:val="auto"/>
        <w:outlineLvl w:val="2"/>
        <w:rPr>
          <w:rFonts w:hint="eastAsia" w:ascii="Times New Roman" w:hAnsi="Times New Roman" w:eastAsia="仿宋" w:cs="Times New Roman"/>
          <w:b/>
          <w:bCs/>
          <w:color w:val="auto"/>
          <w:sz w:val="28"/>
          <w:szCs w:val="28"/>
          <w:lang w:val="en-US" w:eastAsia="zh-CN"/>
        </w:rPr>
      </w:pPr>
      <w:bookmarkStart w:id="308" w:name="_Toc25083"/>
      <w:bookmarkStart w:id="309" w:name="_Toc26131"/>
      <w:bookmarkStart w:id="310" w:name="_Toc4116"/>
      <w:r>
        <w:rPr>
          <w:rFonts w:hint="eastAsia" w:ascii="Times New Roman" w:hAnsi="Times New Roman" w:eastAsia="仿宋" w:cs="Times New Roman"/>
          <w:b/>
          <w:bCs/>
          <w:color w:val="auto"/>
          <w:sz w:val="28"/>
          <w:szCs w:val="28"/>
          <w:lang w:val="en-US" w:eastAsia="zh-CN"/>
        </w:rPr>
        <w:t>7.2.3 水污染事件应急措施</w:t>
      </w:r>
      <w:bookmarkEnd w:id="308"/>
      <w:bookmarkEnd w:id="309"/>
      <w:bookmarkEnd w:id="310"/>
      <w:r>
        <w:rPr>
          <w:rFonts w:hint="eastAsia" w:ascii="Times New Roman" w:hAnsi="Times New Roman" w:eastAsia="仿宋" w:cs="Times New Roman"/>
          <w:b/>
          <w:bCs/>
          <w:color w:val="auto"/>
          <w:sz w:val="28"/>
          <w:szCs w:val="28"/>
          <w:lang w:val="en-US" w:eastAsia="zh-CN"/>
        </w:rPr>
        <w:t xml:space="preserve">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项目废水经专管收集后，进厂区污水处理站进行处理，污水处理站一旦发生事故，立即根据公司环境应急预案做出应急响应工作，关停废水输送阀门，将废水引至本项目厂区事故池。同时应急办公室根据污染物的性质，事件类型、可控性、严重程度和影响范围，河流的流速与流量（或水体的状况），以及园区周边饮用水源地的情况，本着“污染物不出事故区域、厂区，不进小河，不进大河，不影响饮用水源地等敏感保护目标”的原则，结合企业环境应急预案做出应急响应工作。</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采取安全转移、堵漏、物化反应、筑坝围堵、启用应急事故池、封堵排口等应急措施，尽量将污染物控制在厂区等安全区域内。</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一旦污染物进入周围水体，采用在河道筑坝、河面围栏、关闭上下游闸门等措施，将污染控制在最小水体范围内，不进入水源保护区等环境敏感水域。</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建设部门通知周边水源地管理单位，做好应急准备，确保饮用水安全，有关部门需进行宣传，加强巡查，设立警示标志。防止周边群众取受污染水饮用、灌溉、喂养牲畜，防止事态扩大。</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此外，园区在雨水入河通道均设有节制闸，以防止事故情况下进入雨水污染物汇入屯头河。建议在入河前设水质在线监测装置，以便在水质超标、事故情况下及时关闭闸，防止污染物进入河流造成污染事故。</w:t>
      </w:r>
    </w:p>
    <w:p>
      <w:pPr>
        <w:pStyle w:val="6"/>
        <w:widowControl w:val="0"/>
        <w:wordWrap/>
        <w:adjustRightInd/>
        <w:snapToGrid w:val="0"/>
        <w:spacing w:before="0" w:beforeAutospacing="0" w:after="0" w:line="360" w:lineRule="auto"/>
        <w:ind w:left="0"/>
        <w:textAlignment w:val="auto"/>
        <w:outlineLvl w:val="2"/>
        <w:rPr>
          <w:rFonts w:hint="eastAsia" w:ascii="Times New Roman" w:hAnsi="Times New Roman" w:eastAsia="仿宋" w:cs="Times New Roman"/>
          <w:b/>
          <w:bCs/>
          <w:color w:val="auto"/>
          <w:sz w:val="28"/>
          <w:szCs w:val="28"/>
          <w:lang w:val="en-US" w:eastAsia="zh-CN"/>
        </w:rPr>
      </w:pPr>
      <w:r>
        <w:rPr>
          <w:rFonts w:hint="eastAsia" w:ascii="Times New Roman" w:hAnsi="Times New Roman" w:eastAsia="仿宋" w:cs="Times New Roman"/>
          <w:b/>
          <w:bCs/>
          <w:color w:val="auto"/>
          <w:sz w:val="28"/>
          <w:szCs w:val="28"/>
          <w:lang w:val="en-US" w:eastAsia="zh-CN"/>
        </w:rPr>
        <w:t xml:space="preserve"> </w:t>
      </w:r>
      <w:bookmarkStart w:id="311" w:name="_Toc27722"/>
      <w:r>
        <w:rPr>
          <w:rFonts w:hint="eastAsia" w:ascii="Times New Roman" w:hAnsi="Times New Roman" w:eastAsia="仿宋" w:cs="Times New Roman"/>
          <w:b/>
          <w:bCs/>
          <w:color w:val="auto"/>
          <w:sz w:val="28"/>
          <w:szCs w:val="28"/>
          <w:lang w:val="en-US" w:eastAsia="zh-CN"/>
        </w:rPr>
        <w:t>7.2.4大气污染事件应急措施</w:t>
      </w:r>
      <w:bookmarkEnd w:id="311"/>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当发生丙烯酸、巯基丙酸泄漏事件时，挥发部分可能会造成大气污染事件，通讯联络组应立即用广播、电话等方式及时通知疏散厂内人员；当发生重大泄漏事件，由应急通讯组负责厂内人员疏散，应急指挥组应立即用电话等方式及时通知上级政府部门，由政府部门对事件下风向、可能受影响的单位、社区（主要是附近企业的职工及卜老家居民）通报事件及影响，说明疏散的有关事项及方向，减少污染危害。对于车间等厂房可通过加强车间通风等方式，尽快稀释车间中的污染物浓度，降低污染危害。</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尾气吸收装置发生时故障也可能会造成大气污染事件，现场操作人员及巡视人员应定期检查泵和风机运行情况，如发现异常调换备用设备及时进行检修处理；定期检查废气治理设施，确保有效处理有机废气。吸收装置发生事故，泵和风机运行不正常，现场操作人员须及时更换备用风机和设备，如果备用设备无法运行，启动应急联锁装置，气体泄漏时即停止生产。</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联锁装置事故，生产现场操作人员须立即向公司调度和车间管理人员汇报，要求立即停止生产；调度室接到报警后，立即通知生产车间停止生产，并迅速通知有关部门及车间要求查明事故原因，应急中心负责人到达现场可以根据具体情况有权下令下游生产人员紧急停车，撤离现场或督促人员戴好相应防护用品坚守岗位，等候指挥部根据事故现场抢救情况及毒气泄漏情况作出相应指令。如事故扩大时得不到控制，应急指挥部须请求上级支援，同时指挥部应根据事故现场实际情况对上级部门区应急管理局、徐州市贾汪生态环境局、卫生局及友邻单位等通报事故情况。指挥部人员同时会同车间查明物料泄漏部位和范围，根据能否控制作出局部或全部停车的决定，若危及人员生命的，应紧急停车，组织人员向上风向撤离，并做好相应防护防范措施；抢险组按应急指挥部指令到达事故现场后，戴好防毒面具、氧气呼吸器、长导管面具等防护设施，在组长带领指挥下进入现场抢救，首先查明现场有无中毒人员以最快速度将中毒人员脱离现场，严重者尽快送医院抢救，同时根据指挥部下达的抢修指令迅速开展工作、堵住漏点、控制事故，以防事故扩大；医疗救护组按应急指挥部指令到达现场后与义务消防抢救队配合应立即救护伤员和中毒人员。医疗救护人员根据伤员的中毒情况及症状及时作出应急措施需吸氧雾化的立即组织吸氧雾化，中毒较重的重伤员应及时送往医院抢救、吸高压氧，一般接毒人员，轻微中毒人员及时发放药品；治安组按应急指挥部指令在组长领带领下到现场，负责现场治安和交通指挥，组织纠察，在事故现场周围设岗，划分禁区。并加强警戒和巡逻检查，当泄漏扩散危及到厂内外人员的安全时应，迅速组织人员向上风向安全地带疏散。并引导友邻单位人员疏散。</w:t>
      </w:r>
    </w:p>
    <w:p>
      <w:pPr>
        <w:snapToGrid w:val="0"/>
        <w:spacing w:beforeLines="50" w:afterLines="50" w:line="500" w:lineRule="exact"/>
        <w:outlineLvl w:val="2"/>
        <w:rPr>
          <w:rFonts w:hint="eastAsia" w:ascii="Times New Roman" w:hAnsi="Times New Roman" w:eastAsia="仿宋" w:cs="Times New Roman"/>
          <w:b/>
          <w:bCs/>
          <w:color w:val="auto"/>
          <w:kern w:val="2"/>
          <w:sz w:val="28"/>
          <w:szCs w:val="28"/>
          <w:lang w:val="en-US" w:eastAsia="zh-CN" w:bidi="ar-SA"/>
        </w:rPr>
      </w:pPr>
      <w:bookmarkStart w:id="312" w:name="_Toc12568"/>
      <w:r>
        <w:rPr>
          <w:rFonts w:hint="eastAsia" w:ascii="Times New Roman" w:hAnsi="Times New Roman" w:eastAsia="仿宋" w:cs="Times New Roman"/>
          <w:b/>
          <w:bCs/>
          <w:color w:val="auto"/>
          <w:kern w:val="2"/>
          <w:sz w:val="28"/>
          <w:szCs w:val="28"/>
          <w:lang w:val="en-US" w:eastAsia="zh-CN" w:bidi="ar-SA"/>
        </w:rPr>
        <w:t>7.2.5危废泄漏事故应急措施</w:t>
      </w:r>
      <w:bookmarkEnd w:id="312"/>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公司危废主要为废包装物、实验室废液、沉淀池污泥及废活性炭等，危废间必须符合（</w:t>
      </w:r>
      <w:r>
        <w:rPr>
          <w:rFonts w:hint="default" w:ascii="Times New Roman" w:hAnsi="Times New Roman" w:eastAsia="仿宋" w:cs="Times New Roman"/>
          <w:color w:val="auto"/>
          <w:sz w:val="28"/>
          <w:szCs w:val="28"/>
          <w:lang w:val="en-US" w:eastAsia="zh-CN"/>
        </w:rPr>
        <w:t>GB18597-2001</w:t>
      </w:r>
      <w:r>
        <w:rPr>
          <w:rFonts w:hint="eastAsia" w:ascii="Times New Roman" w:hAnsi="Times New Roman" w:eastAsia="仿宋" w:cs="Times New Roman"/>
          <w:color w:val="auto"/>
          <w:sz w:val="28"/>
          <w:szCs w:val="28"/>
          <w:lang w:val="en-US" w:eastAsia="zh-CN"/>
        </w:rPr>
        <w:t>）规定的贮存控制标准要求，场所配备应急储存设施，发生泄漏事故，发现人员应立即通知危废间持证人员，同时协助危废间工人首先对泄漏点进行围堵，然后将泄漏危废转移至安全储存设施内。</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与此同时，车间人员需立即向厂区环保专员汇报，情况严重时可越级向应急总指挥汇报。应急人员到达现场，需第一时间撤离在场人员，并对泄漏危废或渗滤液进行安全储存。事故得到控制后，消防人员对危废间泄漏点进行彻底清洗，废水进厂区生产废水处理设施处理后达标排放。</w:t>
      </w:r>
    </w:p>
    <w:p>
      <w:pPr>
        <w:snapToGrid w:val="0"/>
        <w:spacing w:beforeLines="50" w:afterLines="50" w:line="500" w:lineRule="exact"/>
        <w:outlineLvl w:val="2"/>
        <w:rPr>
          <w:rFonts w:hint="eastAsia" w:ascii="Times New Roman" w:hAnsi="Times New Roman" w:eastAsia="仿宋" w:cs="Times New Roman"/>
          <w:b/>
          <w:color w:val="auto"/>
          <w:sz w:val="28"/>
          <w:szCs w:val="28"/>
          <w:lang w:val="en-US" w:eastAsia="zh-CN"/>
        </w:rPr>
      </w:pPr>
      <w:bookmarkStart w:id="313" w:name="_Toc3725"/>
      <w:r>
        <w:rPr>
          <w:rFonts w:hint="eastAsia" w:ascii="Times New Roman" w:hAnsi="Times New Roman" w:eastAsia="仿宋" w:cs="Times New Roman"/>
          <w:b/>
          <w:color w:val="auto"/>
          <w:kern w:val="2"/>
          <w:sz w:val="28"/>
          <w:szCs w:val="28"/>
          <w:lang w:val="en-US" w:eastAsia="zh-CN" w:bidi="ar-SA"/>
        </w:rPr>
        <w:pict>
          <v:rect id="矩形 373" o:spid="_x0000_s1281" o:spt="1" style="position:absolute;left:0pt;margin-left:159.4pt;margin-top:0.05pt;height:9pt;width:44.3pt;z-index:251859968;mso-width-relative:page;mso-height-relative:page;" fillcolor="#FFFFFF" filled="t" o:preferrelative="t" stroked="f" coordsize="21600,21600">
            <v:path/>
            <v:fill on="t" focussize="0,0"/>
            <v:stroke on="f"/>
            <v:imagedata gain="65536f" blacklevel="0f" gamma="0" o:title=""/>
            <o:lock v:ext="edit" position="f" selection="f" grouping="f" rotation="f" cropping="f" text="f" aspectratio="f"/>
          </v:rect>
        </w:pict>
      </w:r>
      <w:bookmarkStart w:id="314" w:name="_Toc516651868"/>
      <w:r>
        <w:rPr>
          <w:rFonts w:hint="eastAsia" w:ascii="Times New Roman" w:hAnsi="Times New Roman" w:eastAsia="仿宋" w:cs="Times New Roman"/>
          <w:b/>
          <w:color w:val="auto"/>
          <w:sz w:val="28"/>
          <w:szCs w:val="28"/>
          <w:lang w:val="en-US" w:eastAsia="zh-CN"/>
        </w:rPr>
        <w:t>7.2.6危险区隔离</w:t>
      </w:r>
      <w:bookmarkEnd w:id="313"/>
      <w:bookmarkEnd w:id="314"/>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发生突发环境事件时，要按事故的状态进行区域管制与警戒，限制无关人员和车辆进入，以防止事件扩大或人员伤亡。该公司出现风险物质泄漏和火灾爆炸等突发性环境事件需进行危险区隔离。义务警戒人员必须佩戴印有“警戒”标识字样的袖套。在</w:t>
      </w:r>
      <w:r>
        <w:rPr>
          <w:rFonts w:hint="eastAsia" w:ascii="Times New Roman" w:hAnsi="Times New Roman" w:eastAsia="仿宋" w:cs="Times New Roman"/>
          <w:color w:val="auto"/>
          <w:sz w:val="28"/>
          <w:szCs w:val="28"/>
          <w:lang w:val="zh-CN" w:eastAsia="zh-CN"/>
        </w:rPr>
        <w:t>道路路口有专人进行疏导。</w:t>
      </w:r>
    </w:p>
    <w:p>
      <w:pPr>
        <w:snapToGrid w:val="0"/>
        <w:spacing w:beforeLines="50" w:afterLines="50" w:line="500" w:lineRule="exact"/>
        <w:outlineLvl w:val="2"/>
        <w:rPr>
          <w:rFonts w:hint="eastAsia" w:ascii="Times New Roman" w:hAnsi="Times New Roman" w:eastAsia="仿宋" w:cs="Times New Roman"/>
          <w:b/>
          <w:color w:val="auto"/>
          <w:sz w:val="28"/>
          <w:szCs w:val="28"/>
          <w:lang w:val="en-US" w:eastAsia="zh-CN"/>
        </w:rPr>
      </w:pPr>
      <w:bookmarkStart w:id="315" w:name="_Toc516651869"/>
      <w:bookmarkStart w:id="316" w:name="_Toc2559"/>
      <w:r>
        <w:rPr>
          <w:rFonts w:hint="eastAsia" w:ascii="Times New Roman" w:hAnsi="Times New Roman" w:eastAsia="仿宋" w:cs="Times New Roman"/>
          <w:b/>
          <w:color w:val="auto"/>
          <w:sz w:val="28"/>
          <w:szCs w:val="28"/>
          <w:lang w:val="en-US" w:eastAsia="zh-CN"/>
        </w:rPr>
        <w:t>7.2.7现场人员的撤离</w:t>
      </w:r>
      <w:bookmarkEnd w:id="315"/>
      <w:bookmarkEnd w:id="316"/>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（1）</w:t>
      </w:r>
      <w:r>
        <w:rPr>
          <w:rFonts w:hint="eastAsia" w:ascii="Times New Roman" w:hAnsi="Times New Roman" w:eastAsia="仿宋" w:cs="Times New Roman"/>
          <w:color w:val="auto"/>
          <w:sz w:val="28"/>
          <w:szCs w:val="28"/>
          <w:lang w:val="zh-CN" w:eastAsia="zh-CN"/>
        </w:rPr>
        <w:t>在发生重大火灾爆炸、严重的有毒物质泄露，严重威胁现场人员生命安全条件下，事件现场最高指挥有权作出与事件处理无关人员的撤离，或全部人员撤离的命令。</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（2）该</w:t>
      </w:r>
      <w:r>
        <w:rPr>
          <w:rFonts w:hint="eastAsia" w:ascii="Times New Roman" w:hAnsi="Times New Roman" w:eastAsia="仿宋" w:cs="Times New Roman"/>
          <w:color w:val="auto"/>
          <w:sz w:val="28"/>
          <w:szCs w:val="28"/>
          <w:lang w:val="zh-CN" w:eastAsia="zh-CN"/>
        </w:rPr>
        <w:t>公司可以指定厂大门作为撤离人员的紧急集合地点。在发生严重的火灾爆炸、毒物泄露事故时，应依据当时的风向选择确定上风向的一侧作为紧急集合地点，撤离人员先在该处集合登记，等待进一步的指令。撤离的信号为公司警报系统发出的报警声。</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（3）</w:t>
      </w:r>
      <w:r>
        <w:rPr>
          <w:rFonts w:hint="eastAsia" w:ascii="Times New Roman" w:hAnsi="Times New Roman" w:eastAsia="仿宋" w:cs="Times New Roman"/>
          <w:color w:val="auto"/>
          <w:sz w:val="28"/>
          <w:szCs w:val="28"/>
          <w:lang w:val="zh-CN" w:eastAsia="zh-CN"/>
        </w:rPr>
        <w:t>突发环境事件发生时，该公司应派专人对非公司人员（参观人员、外单位施工作业人员等）进行引导疏散并撤离至安全地带。</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（4）</w:t>
      </w:r>
      <w:r>
        <w:rPr>
          <w:rFonts w:hint="eastAsia" w:ascii="Times New Roman" w:hAnsi="Times New Roman" w:eastAsia="仿宋" w:cs="Times New Roman"/>
          <w:color w:val="auto"/>
          <w:sz w:val="28"/>
          <w:szCs w:val="28"/>
          <w:lang w:val="zh-CN" w:eastAsia="zh-CN"/>
        </w:rPr>
        <w:t>当经过积极的急救处理后，突发环境事件仍无法控制，可由应急救援指挥部下达撤离命令后，现场所有人员应按自己所处位置，选择特定路线撤离，并引导现场其他人员迅速撤离现场。对可能威胁到厂外居民安全时，应急救援指挥部应立即和地方有关部门联系，在县、市指挥部指挥协调下迅速组织有关人员协助友邻单位、厂区外过往行人撤离到安全地点。</w:t>
      </w:r>
    </w:p>
    <w:p>
      <w:pPr>
        <w:snapToGrid w:val="0"/>
        <w:spacing w:beforeLines="50" w:afterLines="50" w:line="500" w:lineRule="exact"/>
        <w:outlineLvl w:val="2"/>
        <w:rPr>
          <w:rFonts w:hint="eastAsia" w:ascii="Times New Roman" w:hAnsi="Times New Roman" w:eastAsia="仿宋" w:cs="Times New Roman"/>
          <w:b/>
          <w:color w:val="auto"/>
          <w:sz w:val="28"/>
          <w:szCs w:val="28"/>
          <w:lang w:val="en-US" w:eastAsia="zh-CN"/>
        </w:rPr>
      </w:pPr>
      <w:bookmarkStart w:id="317" w:name="_Toc21986"/>
      <w:bookmarkStart w:id="318" w:name="_Toc516651870"/>
      <w:r>
        <w:rPr>
          <w:rFonts w:hint="eastAsia" w:ascii="Times New Roman" w:hAnsi="Times New Roman" w:eastAsia="仿宋" w:cs="Times New Roman"/>
          <w:b/>
          <w:color w:val="auto"/>
          <w:sz w:val="28"/>
          <w:szCs w:val="28"/>
          <w:lang w:val="en-US" w:eastAsia="zh-CN"/>
        </w:rPr>
        <w:t>7.2.8应急人员进入、撤离现场的条件和方法</w:t>
      </w:r>
      <w:bookmarkEnd w:id="317"/>
      <w:bookmarkEnd w:id="318"/>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应急人员在进入现场时应做好如下准备：</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1</w:t>
      </w:r>
      <w:r>
        <w:rPr>
          <w:rFonts w:hint="eastAsia" w:ascii="Times New Roman" w:hAnsi="Times New Roman" w:eastAsia="仿宋" w:cs="Times New Roman"/>
          <w:color w:val="auto"/>
          <w:sz w:val="28"/>
          <w:szCs w:val="28"/>
          <w:lang w:val="zh-CN" w:eastAsia="zh-CN"/>
        </w:rPr>
        <w:t>）根据突发环境事件的规模，影响程度以及波及范围，确定应急救援人员的人数，并由经验丰富的或相关专业人员带队。</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2</w:t>
      </w:r>
      <w:r>
        <w:rPr>
          <w:rFonts w:hint="eastAsia" w:ascii="Times New Roman" w:hAnsi="Times New Roman" w:eastAsia="仿宋" w:cs="Times New Roman"/>
          <w:color w:val="auto"/>
          <w:sz w:val="28"/>
          <w:szCs w:val="28"/>
          <w:lang w:val="zh-CN" w:eastAsia="zh-CN"/>
        </w:rPr>
        <w:t>）救援器材、物资必须准备充足，以防出现救险物资不够用的情况。</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3</w:t>
      </w:r>
      <w:r>
        <w:rPr>
          <w:rFonts w:hint="eastAsia" w:ascii="Times New Roman" w:hAnsi="Times New Roman" w:eastAsia="仿宋" w:cs="Times New Roman"/>
          <w:color w:val="auto"/>
          <w:sz w:val="28"/>
          <w:szCs w:val="28"/>
          <w:lang w:val="zh-CN" w:eastAsia="zh-CN"/>
        </w:rPr>
        <w:t>）进入前尽量弄清楚各类相关事故处置情况，在保证自己安全的情况下最大限度的抢险救灾。</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4</w:t>
      </w:r>
      <w:r>
        <w:rPr>
          <w:rFonts w:hint="eastAsia" w:ascii="Times New Roman" w:hAnsi="Times New Roman" w:eastAsia="仿宋" w:cs="Times New Roman"/>
          <w:color w:val="auto"/>
          <w:sz w:val="28"/>
          <w:szCs w:val="28"/>
          <w:lang w:val="zh-CN" w:eastAsia="zh-CN"/>
        </w:rPr>
        <w:t>）思想准备要充分，救援时思想情绪保持稳定，做好救援抢险工作。</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5</w:t>
      </w:r>
      <w:r>
        <w:rPr>
          <w:rFonts w:hint="eastAsia" w:ascii="Times New Roman" w:hAnsi="Times New Roman" w:eastAsia="仿宋" w:cs="Times New Roman"/>
          <w:color w:val="auto"/>
          <w:sz w:val="28"/>
          <w:szCs w:val="28"/>
          <w:lang w:val="zh-CN" w:eastAsia="zh-CN"/>
        </w:rPr>
        <w:t>）当突发事件的危害已经消除或者得到有效控制，由应急小组组长命令应急救援人员撤离现场。撤离时应保持秩序不混乱，不得提前脱下防护设备，待到安全区域时立即消毒，沐浴。</w:t>
      </w:r>
    </w:p>
    <w:p>
      <w:pPr>
        <w:snapToGrid w:val="0"/>
        <w:spacing w:beforeLines="50" w:afterLines="50" w:line="360" w:lineRule="auto"/>
        <w:outlineLvl w:val="2"/>
        <w:rPr>
          <w:rFonts w:hint="eastAsia" w:ascii="Times New Roman" w:hAnsi="Times New Roman" w:eastAsia="仿宋" w:cs="Times New Roman"/>
          <w:b/>
          <w:color w:val="auto"/>
          <w:sz w:val="28"/>
          <w:szCs w:val="28"/>
          <w:lang w:val="en-US" w:eastAsia="zh-CN"/>
        </w:rPr>
      </w:pPr>
      <w:bookmarkStart w:id="319" w:name="_Toc516651871"/>
      <w:bookmarkStart w:id="320" w:name="_Toc2690"/>
      <w:r>
        <w:rPr>
          <w:rFonts w:hint="eastAsia" w:ascii="Times New Roman" w:hAnsi="Times New Roman" w:eastAsia="仿宋" w:cs="Times New Roman"/>
          <w:b/>
          <w:color w:val="auto"/>
          <w:sz w:val="28"/>
          <w:szCs w:val="28"/>
          <w:lang w:val="en-US" w:eastAsia="zh-CN"/>
        </w:rPr>
        <w:t>7.2.9应急救援队伍的调度及物资保障供应</w:t>
      </w:r>
      <w:bookmarkEnd w:id="319"/>
      <w:bookmarkEnd w:id="320"/>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公司内部的应急救援队伍的调度由应急救援指挥部统一调度，突发环境事件时，由总指挥下达救援命令，并由事故发生部门或各应急小组组长负责人带领展开应急救援行动。应急救援物资由各物资保管人负责分发给各救援小组，在达到应急救援目的的同时尽量节约，不浪费。</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公司应与邻近单位保持良好的合作关系，当需要外部力量支援时，贾汪区环保局和贾汪区政府应启动应急预案，实行区域联动。在当地政府协调和指导下，外部力量能够在运输、人员、救治以及救援部分物资等方面给予帮助。</w:t>
      </w:r>
    </w:p>
    <w:p>
      <w:pPr>
        <w:snapToGrid w:val="0"/>
        <w:spacing w:beforeLines="50" w:afterLines="50" w:line="360" w:lineRule="auto"/>
        <w:outlineLvl w:val="2"/>
        <w:rPr>
          <w:rFonts w:hint="eastAsia" w:ascii="Times New Roman" w:hAnsi="Times New Roman" w:eastAsia="仿宋" w:cs="Times New Roman"/>
          <w:b/>
          <w:color w:val="auto"/>
          <w:sz w:val="28"/>
          <w:szCs w:val="28"/>
          <w:lang w:val="en-US" w:eastAsia="zh-CN"/>
        </w:rPr>
      </w:pPr>
      <w:bookmarkStart w:id="321" w:name="_Toc516651874"/>
      <w:bookmarkStart w:id="322" w:name="_Toc27384"/>
      <w:r>
        <w:rPr>
          <w:rFonts w:hint="eastAsia" w:ascii="Times New Roman" w:hAnsi="Times New Roman" w:eastAsia="仿宋" w:cs="Times New Roman"/>
          <w:b/>
          <w:color w:val="auto"/>
          <w:sz w:val="28"/>
          <w:szCs w:val="28"/>
          <w:lang w:val="en-US" w:eastAsia="zh-CN"/>
        </w:rPr>
        <w:t>7.2.</w:t>
      </w:r>
      <w:bookmarkEnd w:id="321"/>
      <w:r>
        <w:rPr>
          <w:rFonts w:hint="eastAsia" w:ascii="Times New Roman" w:hAnsi="Times New Roman" w:eastAsia="仿宋" w:cs="Times New Roman"/>
          <w:b/>
          <w:color w:val="auto"/>
          <w:sz w:val="28"/>
          <w:szCs w:val="28"/>
          <w:lang w:val="en-US" w:eastAsia="zh-CN"/>
        </w:rPr>
        <w:t>10现场急救与紧急处理</w:t>
      </w:r>
      <w:bookmarkEnd w:id="322"/>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1</w:t>
      </w:r>
      <w:r>
        <w:rPr>
          <w:rFonts w:hint="eastAsia" w:ascii="Times New Roman" w:hAnsi="Times New Roman" w:eastAsia="仿宋" w:cs="Times New Roman"/>
          <w:color w:val="auto"/>
          <w:sz w:val="28"/>
          <w:szCs w:val="28"/>
          <w:lang w:val="zh-CN" w:eastAsia="zh-CN"/>
        </w:rPr>
        <w:t>）接触人群检伤分类方案</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该公司在突发环境事件现场对人体可能造成的伤害为：气体中毒、火灾爆炸烧伤、外伤等。</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根据接触人群的不同伤害，由公司医疗救护人员初步判断伤者受伤程度，以便进行初步救治；情况严重者应立即送往当地附近医院及与120联系，请求迅速救治。</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2</w:t>
      </w:r>
      <w:r>
        <w:rPr>
          <w:rFonts w:hint="eastAsia" w:ascii="Times New Roman" w:hAnsi="Times New Roman" w:eastAsia="仿宋" w:cs="Times New Roman"/>
          <w:color w:val="auto"/>
          <w:sz w:val="28"/>
          <w:szCs w:val="28"/>
          <w:lang w:val="zh-CN" w:eastAsia="zh-CN"/>
        </w:rPr>
        <w:t>）伤员现场治疗方案</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①中毒时的处置方式</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1）吸入化学品气体中毒时，迅速脱离现场，移至空气新鲜、通风良好场所，松开患者衣领和裤带，冬季应注意保暖，送医院治疗。</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2）沾染皮肤时应立即脱去污染的衣服等，用大量清水冲洗。</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3）溅入眼睛时，用清水冲洗后，送医院治疗。</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4）急性中毒时为防止虚脱，应使患者头部无枕躺下，挣扎乱闹时，按住手脚，注意不应妨碍血液循环和呼吸，送医院治疗。</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5）神智不清时，应使其侧卧，注意呼吸畅通，防止气道梗阻，送医院治疗。</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6）呼吸微弱或休克时，可施行心肺复苏术，恢复呼吸后，送医院治疗或请求医院派员至现场急救。</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②外伤急救处置</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1）一般外伤：脱离现场，清除污物，止血包扎，需要时送医院进一步治疗。</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2）骨折时用夹板固定包扎，移动护送时应平躺，防止弯折，送医院治疗。</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3）遇静脉大出血时及时绑扎或压迫止血，立即送医院救治。</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4）将伤员送往附近医院进行救治。</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5）抢救受伤严重伤员的同时，拨打急救中心电话，由医务人员进行现场抢救伤员，并派人接应急救车辆。</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⑷伤员转运及转运中的救治方案</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①在患者转运及转运中，要加强对患者的观察，如受害者仍清醒，有条件可让其吸氧，上半身抬高解开衣服，尤其要解开领口和皮带。</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②如果受害者昏迷但有呼吸，则除了上述措施外，还需使其吸入低压氧，直至转移至医院；如受害者有呼吸停止现象，应立即开始做人工呼吸，直至转移至医院。</w:t>
      </w:r>
    </w:p>
    <w:p>
      <w:pPr>
        <w:widowControl w:val="0"/>
        <w:wordWrap/>
        <w:adjustRightInd/>
        <w:snapToGrid w:val="0"/>
        <w:spacing w:line="360" w:lineRule="auto"/>
        <w:textAlignment w:val="auto"/>
        <w:outlineLvl w:val="2"/>
        <w:rPr>
          <w:rFonts w:hint="eastAsia" w:ascii="Times New Roman" w:hAnsi="Times New Roman" w:eastAsia="仿宋" w:cs="Times New Roman"/>
          <w:b/>
          <w:color w:val="auto"/>
          <w:sz w:val="28"/>
          <w:szCs w:val="28"/>
          <w:lang w:val="en-US" w:eastAsia="zh-CN"/>
        </w:rPr>
      </w:pPr>
      <w:bookmarkStart w:id="323" w:name="_Toc14591"/>
      <w:r>
        <w:rPr>
          <w:rFonts w:hint="eastAsia" w:ascii="Times New Roman" w:hAnsi="Times New Roman" w:eastAsia="仿宋" w:cs="Times New Roman"/>
          <w:b/>
          <w:color w:val="auto"/>
          <w:sz w:val="28"/>
          <w:szCs w:val="28"/>
          <w:lang w:val="en-US" w:eastAsia="zh-CN"/>
        </w:rPr>
        <w:t>7.2.11安全防护</w:t>
      </w:r>
      <w:bookmarkEnd w:id="323"/>
      <w:r>
        <w:rPr>
          <w:rFonts w:hint="eastAsia" w:ascii="Times New Roman" w:hAnsi="Times New Roman" w:eastAsia="仿宋" w:cs="Times New Roman"/>
          <w:b/>
          <w:color w:val="auto"/>
          <w:sz w:val="28"/>
          <w:szCs w:val="28"/>
          <w:lang w:val="en-US" w:eastAsia="zh-CN"/>
        </w:rPr>
        <w:t xml:space="preserve">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en-US" w:eastAsia="zh-CN"/>
        </w:rPr>
        <w:t xml:space="preserve">1）现场保护措施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en-US" w:eastAsia="zh-CN"/>
        </w:rPr>
        <w:t xml:space="preserve">应急指挥组根据突发环境事件的性质、发展趋势、危害性和扩散范围进行预测后，发出撤离警报，紧急设定危险区隔离带，划定现场保护区界限。保卫警戒组按指令，引导撤离人员按疏散路线至安全地带，禁止非救援车辆、人员再次进入。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en-US" w:eastAsia="zh-CN"/>
        </w:rPr>
        <w:t xml:space="preserve">发生事故后，事故所在地区域为事故中心区域，整个公司为事故波及区域。非抢险人员撤离事故中心区和事故波及区后，由警戒组指派专人清点人数并进行登记。在撤离警报发出后，所有员工按照要求妥善关闭正在运行的设备，按照“疏散路线示意图”到指定的地点前集中。发现有人员受伤 时，应该先判断周围环境的安全性再进行救助。到指定的地点集中后，由后勤保障组授权人员统计应到人数，并且及时向指挥部报告，以便了解是否有人滞留在危险区域内。救援行动中，如遇到爆炸、火灾类型的事故时，救援工作的设备和使用器具要选用防爆型的工具，特殊的还需要接地线。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2）应急人员的安全防护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根据事故类型不同、影响范围不同和应急人员职责不同，采取不同的防护措施：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（1）警戒隔离人员和其他不进入污染区域的应急人员一般穿防护服；</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（2）消防人员必须带防毒面具、穿全身防护服，在上风向作业；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（3）设备维修人员在应急过程中戴轻型防化服并携带正压式呼吸器。</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安全环保负责人确保所有防护用品在有效期内，当其失效时能够第一时间得到更换及修复。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抢险救援人员从上风向逼近或火灾现场，在有毒气云、高温、火焰和烟雾的情况下，要尽量保持低体位逼近危险源。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在处置现场事故时，应急指挥部应当组织专家对事故发生场所及周边生产区的安全情况进行科学评估，保障现场及周边生产区域应急救援人员的人身安全。必要时，对应急救援人员现场暂短培训后，再开展救援行动。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抢险救援人员进行抢修时，一旦有异常情况，可能危及抢险救援人员安全时，应设法指挥和帮助抢险救援人员沿安全路线撤离。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当突发事件的危害已经消除或者得到有效控制时，由现场指挥下达命令应急救援人员撤离现场。撤离时应保持秩序不混乱，不得提前脱下防护设备，待到安全区域时立即洗消、更衣、沐浴。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3）受灾群众的安全防护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大气污染事故后，保卫警戒组指导群众立刻带上湿口罩或用湿毛巾捂住口鼻，沿安全疏散路线撤离危险区域，转移到上风向的安全地带。</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不同伤情伤员的处置办法：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对重伤的人员，按急救常识救护处置后，立即向120急救中心或就近医院请求急救，快速将伤员转移至医院救治；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对轻微受伤人员，按急救常识对患者进行现场救治；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对一般性受灾群众，应急人员向受灾群众宣传急救知识，指导进行现场洗消。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4）次生灾害防护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公司突发环境事件的次生灾害主要是易燃物质发生火灾事故或泄漏事故，救援工作会形成大量消防废水。为避免事故情况下消防污水外排或在厂区漫流造成污染，利用沙袋围堵，减轻对环境的影响。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en-US" w:eastAsia="zh-CN"/>
        </w:rPr>
        <w:t xml:space="preserve">应急结束后继续监测现场污染情况，现场清理和恢复必须按照环保要求，现场遗留物做无害化处理。 </w:t>
      </w:r>
    </w:p>
    <w:p>
      <w:pPr>
        <w:widowControl w:val="0"/>
        <w:wordWrap/>
        <w:adjustRightInd/>
        <w:snapToGrid w:val="0"/>
        <w:spacing w:line="360" w:lineRule="auto"/>
        <w:textAlignment w:val="auto"/>
        <w:outlineLvl w:val="2"/>
        <w:rPr>
          <w:rFonts w:hint="eastAsia" w:ascii="Times New Roman" w:hAnsi="Times New Roman" w:eastAsia="仿宋" w:cs="Times New Roman"/>
          <w:b/>
          <w:color w:val="auto"/>
          <w:sz w:val="28"/>
          <w:szCs w:val="28"/>
          <w:lang w:val="en-US" w:eastAsia="zh-CN"/>
        </w:rPr>
      </w:pPr>
      <w:bookmarkStart w:id="324" w:name="_Toc355"/>
      <w:r>
        <w:rPr>
          <w:rFonts w:hint="eastAsia" w:ascii="Times New Roman" w:hAnsi="Times New Roman" w:eastAsia="仿宋" w:cs="Times New Roman"/>
          <w:b/>
          <w:color w:val="auto"/>
          <w:sz w:val="28"/>
          <w:szCs w:val="28"/>
          <w:lang w:val="en-US" w:eastAsia="zh-CN"/>
        </w:rPr>
        <w:t>7.2.12外部指挥与协调</w:t>
      </w:r>
      <w:bookmarkEnd w:id="324"/>
      <w:r>
        <w:rPr>
          <w:rFonts w:hint="eastAsia" w:ascii="Times New Roman" w:hAnsi="Times New Roman" w:eastAsia="仿宋" w:cs="Times New Roman"/>
          <w:b/>
          <w:color w:val="auto"/>
          <w:sz w:val="28"/>
          <w:szCs w:val="28"/>
          <w:lang w:val="en-US" w:eastAsia="zh-CN"/>
        </w:rPr>
        <w:t xml:space="preserve">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在应急响应中，公司以地方政府和专业应急机构作为外部依托，形成应急联动机制。发生超出公司应急处置能力的突发环境事件时，可及时请求外部支援，其中包括环保专业救援队、医疗救护队、公安、消防队、环保专家等。信息通讯组负责将突发环境事件的性质、原因、影响范围、可能的后果和发展趋势等基本情况上报上级单位和主管部门。公司根据应急预案的相关内容确定突发环境事件的影响范围，信息通讯组根据应急通讯录在第一时间向可能受到影响的单位以及居民通报相关信息。 </w:t>
      </w:r>
    </w:p>
    <w:p>
      <w:pPr>
        <w:widowControl w:val="0"/>
        <w:wordWrap/>
        <w:adjustRightInd/>
        <w:snapToGrid w:val="0"/>
        <w:spacing w:line="360" w:lineRule="auto"/>
        <w:textAlignment w:val="auto"/>
        <w:outlineLvl w:val="2"/>
        <w:rPr>
          <w:rFonts w:hint="eastAsia" w:ascii="Times New Roman" w:hAnsi="Times New Roman" w:eastAsia="仿宋" w:cs="Times New Roman"/>
          <w:b/>
          <w:color w:val="auto"/>
          <w:sz w:val="28"/>
          <w:szCs w:val="28"/>
          <w:lang w:val="en-US" w:eastAsia="zh-CN"/>
        </w:rPr>
      </w:pPr>
      <w:bookmarkStart w:id="325" w:name="_Toc20163"/>
      <w:r>
        <w:rPr>
          <w:rFonts w:hint="eastAsia" w:ascii="Times New Roman" w:hAnsi="Times New Roman" w:eastAsia="仿宋" w:cs="Times New Roman"/>
          <w:b/>
          <w:color w:val="auto"/>
          <w:sz w:val="28"/>
          <w:szCs w:val="28"/>
          <w:lang w:val="en-US" w:eastAsia="zh-CN"/>
        </w:rPr>
        <w:t>7.2.13对政府的建议性措施</w:t>
      </w:r>
      <w:bookmarkEnd w:id="325"/>
      <w:r>
        <w:rPr>
          <w:rFonts w:hint="eastAsia" w:ascii="Times New Roman" w:hAnsi="Times New Roman" w:eastAsia="仿宋" w:cs="Times New Roman"/>
          <w:b/>
          <w:color w:val="auto"/>
          <w:sz w:val="28"/>
          <w:szCs w:val="28"/>
          <w:lang w:val="en-US" w:eastAsia="zh-CN"/>
        </w:rPr>
        <w:t xml:space="preserve">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当发生突发环境事件对本公司外部环境产生影响时，建议贾汪区政府启动突发环境事件应急预案</w:t>
      </w:r>
      <w:r>
        <w:rPr>
          <w:rFonts w:hint="eastAsia" w:ascii="宋体" w:hAnsi="宋体" w:eastAsia="宋体" w:cs="宋体"/>
          <w:color w:val="auto"/>
          <w:sz w:val="28"/>
          <w:szCs w:val="28"/>
          <w:lang w:val="en-US" w:eastAsia="zh-CN"/>
        </w:rPr>
        <w:t>Ⅲ</w:t>
      </w:r>
      <w:r>
        <w:rPr>
          <w:rFonts w:hint="eastAsia" w:ascii="Times New Roman" w:hAnsi="Times New Roman" w:eastAsia="仿宋" w:cs="Times New Roman"/>
          <w:color w:val="auto"/>
          <w:sz w:val="28"/>
          <w:szCs w:val="28"/>
          <w:lang w:val="en-US" w:eastAsia="zh-CN"/>
        </w:rPr>
        <w:t xml:space="preserve">响应，成立现场应急指挥部，本公司会将指挥权移交政府人员并积极配合应急。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 xml:space="preserve">结合本公司可能发生的突发环境事件类型，本公司突发环境事件监控的重点在于对地表水的污染，建议贾汪区政府在本公司发生突发环境事件后重点对本公司雨、污水管网实施监测，并组织专家组对水体受污染情况进行评估。 </w:t>
      </w:r>
    </w:p>
    <w:p>
      <w:pPr>
        <w:pStyle w:val="5"/>
        <w:keepNext/>
        <w:keepLines/>
        <w:widowControl w:val="0"/>
        <w:adjustRightInd w:val="0"/>
        <w:snapToGrid w:val="0"/>
        <w:spacing w:beforeLines="50" w:afterLines="50" w:line="480" w:lineRule="exact"/>
        <w:ind w:left="0"/>
        <w:jc w:val="both"/>
        <w:rPr>
          <w:rFonts w:hint="eastAsia" w:ascii="Times New Roman" w:hAnsi="Times New Roman" w:eastAsia="仿宋" w:cs="Times New Roman"/>
          <w:b/>
          <w:bCs/>
          <w:color w:val="auto"/>
          <w:sz w:val="30"/>
          <w:szCs w:val="30"/>
        </w:rPr>
      </w:pPr>
      <w:bookmarkStart w:id="326" w:name="_Toc31022"/>
      <w:r>
        <w:rPr>
          <w:rFonts w:hint="eastAsia" w:ascii="Times New Roman" w:hAnsi="Times New Roman" w:eastAsia="仿宋" w:cs="Times New Roman"/>
          <w:b/>
          <w:bCs/>
          <w:color w:val="auto"/>
          <w:sz w:val="30"/>
          <w:szCs w:val="30"/>
        </w:rPr>
        <w:t>7.</w:t>
      </w:r>
      <w:r>
        <w:rPr>
          <w:rFonts w:hint="eastAsia" w:ascii="Times New Roman" w:hAnsi="Times New Roman" w:cs="Times New Roman"/>
          <w:b/>
          <w:bCs/>
          <w:color w:val="auto"/>
          <w:sz w:val="30"/>
          <w:szCs w:val="30"/>
          <w:lang w:val="en-US" w:eastAsia="zh-CN"/>
        </w:rPr>
        <w:t>3</w:t>
      </w:r>
      <w:r>
        <w:rPr>
          <w:rFonts w:hint="eastAsia" w:ascii="Times New Roman" w:hAnsi="Times New Roman" w:eastAsia="仿宋" w:cs="Times New Roman"/>
          <w:b/>
          <w:bCs/>
          <w:color w:val="auto"/>
          <w:sz w:val="30"/>
          <w:szCs w:val="30"/>
        </w:rPr>
        <w:t>应急监测</w:t>
      </w:r>
      <w:bookmarkEnd w:id="326"/>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en-US" w:eastAsia="zh-CN"/>
        </w:rPr>
        <w:t>如遇突发环境事件，有针对性地开展应急监测工作。当收集到的有关信息证明突发环境事件即将发生或者发生的可能性增大时，按照 相关应急预案执行，安全环保负责人立即请求有资质单位提供应急监测。</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zh-CN" w:eastAsia="zh-CN"/>
        </w:rPr>
        <w:t>公司已配备必要的应急物资和应急装备，但没有应急监测能力，需要委托专业队伍（如江苏徐海环境监测有限公司等）完成应急监测任务</w:t>
      </w:r>
      <w:r>
        <w:rPr>
          <w:rFonts w:hint="eastAsia" w:ascii="Times New Roman" w:hAnsi="Times New Roman" w:eastAsia="仿宋" w:cs="Times New Roman"/>
          <w:color w:val="auto"/>
          <w:sz w:val="28"/>
          <w:szCs w:val="28"/>
          <w:lang w:val="en-US" w:eastAsia="zh-CN"/>
        </w:rPr>
        <w:t>。</w:t>
      </w:r>
    </w:p>
    <w:p>
      <w:pPr>
        <w:widowControl w:val="0"/>
        <w:wordWrap/>
        <w:adjustRightInd/>
        <w:snapToGrid w:val="0"/>
        <w:spacing w:line="360" w:lineRule="auto"/>
        <w:textAlignment w:val="auto"/>
        <w:outlineLvl w:val="2"/>
        <w:rPr>
          <w:rFonts w:hint="eastAsia" w:ascii="Times New Roman" w:hAnsi="Times New Roman" w:eastAsia="仿宋" w:cs="Times New Roman"/>
          <w:b/>
          <w:color w:val="auto"/>
          <w:sz w:val="28"/>
          <w:szCs w:val="28"/>
          <w:lang w:val="en-US" w:eastAsia="zh-CN"/>
        </w:rPr>
      </w:pPr>
      <w:bookmarkStart w:id="327" w:name="_Toc28600"/>
      <w:r>
        <w:rPr>
          <w:rFonts w:hint="eastAsia" w:ascii="Times New Roman" w:hAnsi="Times New Roman" w:eastAsia="仿宋" w:cs="Times New Roman"/>
          <w:b/>
          <w:color w:val="auto"/>
          <w:sz w:val="28"/>
          <w:szCs w:val="28"/>
          <w:lang w:val="en-US" w:eastAsia="zh-CN"/>
        </w:rPr>
        <w:t>7.3.1应急监测原则</w:t>
      </w:r>
      <w:bookmarkEnd w:id="327"/>
      <w:r>
        <w:rPr>
          <w:rFonts w:hint="eastAsia" w:ascii="Times New Roman" w:hAnsi="Times New Roman" w:eastAsia="仿宋" w:cs="Times New Roman"/>
          <w:b/>
          <w:color w:val="auto"/>
          <w:sz w:val="28"/>
          <w:szCs w:val="28"/>
          <w:lang w:val="en-US" w:eastAsia="zh-CN"/>
        </w:rPr>
        <w:t xml:space="preserve">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en-US" w:eastAsia="zh-CN"/>
        </w:rPr>
        <w:t>采样断面（点）的设置一般以突发环境事件发生地及其附近区域为主，同时必须注重人群和生活环境，重点关注对饮用水水源地、人群活动区域的空气、农田土壤等区域的影响，并合理设置监测断面（点），以掌握污染发生地状况、反映事故发生区域环境的污染程度和范围。</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en-US" w:eastAsia="zh-CN"/>
        </w:rPr>
        <w:t xml:space="preserve">对被突发环境事件所污染的地表水、地下水、大气和土壤应设置对照断面（点）、控制断面（点），对地表水和地下水还应设置消减 断面，尽可能以最少的断面（点）获取足够的有代表性的所需信息，同时须考虑采样的可行性和方便性。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en-US" w:eastAsia="zh-CN"/>
        </w:rPr>
        <w:t xml:space="preserve">（1）对固定污染源和流动污染源的监测布点，应根据现场的具体情况，产生污染物的不同工况（部位）或不同容器分别布设采样点。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en-US" w:eastAsia="zh-CN"/>
        </w:rPr>
        <w:t xml:space="preserve">（2）对地表水的监测在事故发生地及其下游布点．同时在事故发生地上游一定距离布设对照断面(点)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en-US" w:eastAsia="zh-CN"/>
        </w:rPr>
        <w:t xml:space="preserve">（3）对地下水的监测应以事故地点为中心，根据本地区地下水流向采用网格法或辐射法布设监测井采样，同时视地下水主要补给来源，在垂直于地下水流的上方向，设置对照监测井采样；在以地下水为饮用水源的取水处必须设置采样点。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en-US" w:eastAsia="zh-CN"/>
        </w:rPr>
        <w:t xml:space="preserve">（4）对大气的监测应以事故地点为中心，在下风向按一定间隔的扇形或圆形布点，并根据污染物的特性在不同高度采样，同时在事故点的上风向适当位置布设对照点；在可能受污染影响的居民住宅区或人群活动区等敏感点必须设置采样点，采样过程中应注意风向变化，及时调整采样点位置。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en-US" w:eastAsia="zh-CN"/>
        </w:rPr>
        <w:t xml:space="preserve">（5）对土壤的监测应以事故地点为中心，按一定间隔的圆形布点采样，并根据污染物的特性在不同深度采样，同时采集对照样品，必要时在事故地附近采集作物样品。 </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en-US" w:eastAsia="zh-CN"/>
        </w:rPr>
        <w:t xml:space="preserve">（6）根据污染物在水中溶解度、密度等特性，对易沉积于水底的污染物，必要时布设底质采样断面（点）。 </w:t>
      </w:r>
    </w:p>
    <w:p>
      <w:pPr>
        <w:pStyle w:val="6"/>
        <w:keepNext/>
        <w:keepLines/>
        <w:widowControl w:val="0"/>
        <w:adjustRightInd w:val="0"/>
        <w:snapToGrid w:val="0"/>
        <w:spacing w:beforeLines="50" w:afterLines="50" w:line="480" w:lineRule="exact"/>
        <w:ind w:left="0"/>
        <w:jc w:val="both"/>
        <w:outlineLvl w:val="2"/>
        <w:rPr>
          <w:rFonts w:hint="eastAsia" w:ascii="Times New Roman" w:hAnsi="Times New Roman" w:eastAsia="仿宋" w:cs="Times New Roman"/>
          <w:b/>
          <w:bCs/>
          <w:color w:val="auto"/>
          <w:sz w:val="28"/>
          <w:szCs w:val="28"/>
        </w:rPr>
      </w:pPr>
      <w:bookmarkStart w:id="328" w:name="_Toc516651876"/>
      <w:bookmarkStart w:id="329" w:name="_Toc25195"/>
      <w:r>
        <w:rPr>
          <w:rFonts w:hint="eastAsia" w:ascii="Times New Roman" w:hAnsi="Times New Roman" w:eastAsia="仿宋" w:cs="Times New Roman"/>
          <w:b/>
          <w:bCs/>
          <w:color w:val="auto"/>
          <w:sz w:val="28"/>
          <w:szCs w:val="28"/>
        </w:rPr>
        <w:t>7.</w:t>
      </w:r>
      <w:r>
        <w:rPr>
          <w:rFonts w:hint="eastAsia" w:ascii="Times New Roman" w:hAnsi="Times New Roman" w:cs="Times New Roman"/>
          <w:b/>
          <w:bCs/>
          <w:color w:val="auto"/>
          <w:sz w:val="28"/>
          <w:szCs w:val="28"/>
          <w:lang w:val="en-US" w:eastAsia="zh-CN"/>
        </w:rPr>
        <w:t>3</w:t>
      </w:r>
      <w:r>
        <w:rPr>
          <w:rFonts w:hint="eastAsia" w:ascii="Times New Roman" w:hAnsi="Times New Roman" w:eastAsia="仿宋" w:cs="Times New Roman"/>
          <w:b/>
          <w:bCs/>
          <w:color w:val="auto"/>
          <w:sz w:val="28"/>
          <w:szCs w:val="28"/>
        </w:rPr>
        <w:t>.</w:t>
      </w:r>
      <w:r>
        <w:rPr>
          <w:rFonts w:hint="eastAsia" w:ascii="Times New Roman" w:hAnsi="Times New Roman" w:eastAsia="仿宋" w:cs="Times New Roman"/>
          <w:b/>
          <w:bCs/>
          <w:color w:val="auto"/>
          <w:sz w:val="28"/>
          <w:szCs w:val="28"/>
          <w:lang w:val="en-US" w:eastAsia="zh-CN"/>
        </w:rPr>
        <w:t>2</w:t>
      </w:r>
      <w:r>
        <w:rPr>
          <w:rFonts w:hint="eastAsia" w:ascii="Times New Roman" w:hAnsi="Times New Roman" w:eastAsia="仿宋" w:cs="Times New Roman"/>
          <w:b/>
          <w:bCs/>
          <w:color w:val="auto"/>
          <w:sz w:val="28"/>
          <w:szCs w:val="28"/>
        </w:rPr>
        <w:t>应急监测方案</w:t>
      </w:r>
      <w:bookmarkEnd w:id="328"/>
      <w:bookmarkEnd w:id="329"/>
    </w:p>
    <w:p>
      <w:pPr>
        <w:snapToGrid w:val="0"/>
        <w:spacing w:beforeLines="50" w:afterLines="50" w:line="500" w:lineRule="exact"/>
        <w:rPr>
          <w:rFonts w:hint="default" w:ascii="Times New Roman" w:hAnsi="Times New Roman" w:eastAsia="仿宋" w:cs="Times New Roman"/>
          <w:b/>
          <w:color w:val="auto"/>
          <w:sz w:val="28"/>
          <w:szCs w:val="28"/>
        </w:rPr>
      </w:pPr>
      <w:r>
        <w:rPr>
          <w:rFonts w:hint="default" w:ascii="Times New Roman" w:hAnsi="Times New Roman" w:eastAsia="仿宋" w:cs="Times New Roman"/>
          <w:b/>
          <w:color w:val="auto"/>
          <w:sz w:val="28"/>
          <w:szCs w:val="28"/>
        </w:rPr>
        <w:t>7.</w:t>
      </w:r>
      <w:r>
        <w:rPr>
          <w:rFonts w:hint="eastAsia" w:ascii="Times New Roman" w:hAnsi="Times New Roman" w:eastAsia="仿宋" w:cs="Times New Roman"/>
          <w:b/>
          <w:color w:val="auto"/>
          <w:sz w:val="28"/>
          <w:szCs w:val="28"/>
          <w:lang w:val="en-US" w:eastAsia="zh-CN"/>
        </w:rPr>
        <w:t>3</w:t>
      </w:r>
      <w:r>
        <w:rPr>
          <w:rFonts w:hint="default" w:ascii="Times New Roman" w:hAnsi="Times New Roman" w:eastAsia="仿宋" w:cs="Times New Roman"/>
          <w:b/>
          <w:color w:val="auto"/>
          <w:sz w:val="28"/>
          <w:szCs w:val="28"/>
        </w:rPr>
        <w:t>.1.1大气环境应急监测方案</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根据公司实际环境风险源状况，大气环境应急监测主要考虑风险物质泄漏和火灾爆炸这两类突发性环境事件产生的污染。</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1</w:t>
      </w:r>
      <w:r>
        <w:rPr>
          <w:rFonts w:hint="eastAsia" w:ascii="Times New Roman" w:hAnsi="Times New Roman" w:eastAsia="仿宋" w:cs="Times New Roman"/>
          <w:color w:val="auto"/>
          <w:sz w:val="28"/>
          <w:szCs w:val="28"/>
          <w:lang w:val="zh-CN" w:eastAsia="zh-CN"/>
        </w:rPr>
        <w:t>）监测点位</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en-US" w:eastAsia="zh-CN"/>
        </w:rPr>
        <w:t>在</w:t>
      </w:r>
      <w:r>
        <w:rPr>
          <w:rFonts w:hint="eastAsia" w:ascii="Times New Roman" w:hAnsi="Times New Roman" w:eastAsia="仿宋" w:cs="Times New Roman"/>
          <w:color w:val="auto"/>
          <w:sz w:val="28"/>
          <w:szCs w:val="28"/>
          <w:lang w:val="zh-CN" w:eastAsia="zh-CN"/>
        </w:rPr>
        <w:t>发生突发环境事件的当天下风向，布设 2～5 个监测点，其中2 个位于厂界外 10m 处，下风向 200m、500m、1000m 处各设 1 个监测点。</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根据监测结果对污染物变化趋势进行分析和对污染扩散范围进行预测的方法，可适时调整监测点位。</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2</w:t>
      </w:r>
      <w:r>
        <w:rPr>
          <w:rFonts w:hint="eastAsia" w:ascii="Times New Roman" w:hAnsi="Times New Roman" w:eastAsia="仿宋" w:cs="Times New Roman"/>
          <w:color w:val="auto"/>
          <w:sz w:val="28"/>
          <w:szCs w:val="28"/>
          <w:lang w:val="zh-CN" w:eastAsia="zh-CN"/>
        </w:rPr>
        <w:t>）监测频次</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大气环境污染事故发生后尽快进行监测，事故发生 1 小时内每 15 分钟取样进行监测，事故后 4 小时、8 小时、24 小时各监测一次。</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3</w:t>
      </w:r>
      <w:r>
        <w:rPr>
          <w:rFonts w:hint="eastAsia" w:ascii="Times New Roman" w:hAnsi="Times New Roman" w:eastAsia="仿宋" w:cs="Times New Roman"/>
          <w:color w:val="auto"/>
          <w:sz w:val="28"/>
          <w:szCs w:val="28"/>
          <w:lang w:val="zh-CN" w:eastAsia="zh-CN"/>
        </w:rPr>
        <w:t>）监测项目</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①泄漏监测项目：丙烯酸、</w:t>
      </w:r>
      <w:r>
        <w:rPr>
          <w:rFonts w:hint="eastAsia" w:ascii="Times New Roman" w:hAnsi="Times New Roman" w:eastAsia="仿宋" w:cs="Times New Roman"/>
          <w:color w:val="auto"/>
          <w:sz w:val="28"/>
          <w:szCs w:val="28"/>
          <w:lang w:val="en-US" w:eastAsia="zh-CN"/>
        </w:rPr>
        <w:t>VOCs</w:t>
      </w:r>
      <w:r>
        <w:rPr>
          <w:rFonts w:hint="eastAsia" w:ascii="Times New Roman" w:hAnsi="Times New Roman" w:eastAsia="仿宋" w:cs="Times New Roman"/>
          <w:color w:val="auto"/>
          <w:sz w:val="28"/>
          <w:szCs w:val="28"/>
          <w:lang w:val="zh-CN" w:eastAsia="zh-CN"/>
        </w:rPr>
        <w:t>。</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②烟尘、CO</w:t>
      </w:r>
      <w:r>
        <w:rPr>
          <w:rFonts w:hint="eastAsia" w:ascii="Times New Roman" w:hAnsi="Times New Roman" w:eastAsia="仿宋" w:cs="Times New Roman"/>
          <w:color w:val="auto"/>
          <w:sz w:val="28"/>
          <w:szCs w:val="28"/>
          <w:lang w:val="en-US" w:eastAsia="zh-CN"/>
        </w:rPr>
        <w:t>、丙烯酸</w:t>
      </w: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VOCs</w:t>
      </w:r>
      <w:r>
        <w:rPr>
          <w:rFonts w:hint="eastAsia" w:ascii="Times New Roman" w:hAnsi="Times New Roman" w:eastAsia="仿宋" w:cs="Times New Roman"/>
          <w:color w:val="auto"/>
          <w:sz w:val="28"/>
          <w:szCs w:val="28"/>
          <w:lang w:val="zh-CN" w:eastAsia="zh-CN"/>
        </w:rPr>
        <w:t>。</w:t>
      </w:r>
    </w:p>
    <w:p>
      <w:pPr>
        <w:snapToGrid w:val="0"/>
        <w:spacing w:beforeLines="50" w:afterLines="50" w:line="500" w:lineRule="exact"/>
        <w:rPr>
          <w:rFonts w:hint="eastAsia" w:ascii="Times New Roman" w:hAnsi="Times New Roman" w:eastAsia="仿宋" w:cs="Times New Roman"/>
          <w:b/>
          <w:color w:val="auto"/>
          <w:sz w:val="28"/>
          <w:szCs w:val="28"/>
        </w:rPr>
      </w:pPr>
      <w:r>
        <w:rPr>
          <w:rFonts w:hint="eastAsia" w:ascii="Times New Roman" w:hAnsi="Times New Roman" w:eastAsia="仿宋" w:cs="Times New Roman"/>
          <w:b/>
          <w:color w:val="auto"/>
          <w:sz w:val="28"/>
          <w:szCs w:val="28"/>
        </w:rPr>
        <w:t>7</w:t>
      </w:r>
      <w:r>
        <w:rPr>
          <w:rFonts w:hint="eastAsia" w:ascii="Times New Roman" w:hAnsi="Times New Roman" w:eastAsia="仿宋" w:cs="Times New Roman"/>
          <w:b/>
          <w:color w:val="auto"/>
          <w:sz w:val="28"/>
          <w:szCs w:val="28"/>
          <w:lang w:val="en-US" w:eastAsia="zh-CN"/>
        </w:rPr>
        <w:t>.3</w:t>
      </w:r>
      <w:r>
        <w:rPr>
          <w:rFonts w:hint="eastAsia" w:ascii="Times New Roman" w:hAnsi="Times New Roman" w:eastAsia="仿宋" w:cs="Times New Roman"/>
          <w:b/>
          <w:color w:val="auto"/>
          <w:sz w:val="28"/>
          <w:szCs w:val="28"/>
        </w:rPr>
        <w:t>.1.2水环境</w:t>
      </w:r>
      <w:r>
        <w:rPr>
          <w:rFonts w:hint="default" w:ascii="Times New Roman" w:hAnsi="Times New Roman" w:eastAsia="仿宋" w:cs="Times New Roman"/>
          <w:b/>
          <w:color w:val="auto"/>
          <w:sz w:val="28"/>
          <w:szCs w:val="28"/>
        </w:rPr>
        <w:t>应急监测方案</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1</w:t>
      </w:r>
      <w:r>
        <w:rPr>
          <w:rFonts w:hint="eastAsia" w:ascii="Times New Roman" w:hAnsi="Times New Roman" w:eastAsia="仿宋" w:cs="Times New Roman"/>
          <w:color w:val="auto"/>
          <w:sz w:val="28"/>
          <w:szCs w:val="28"/>
          <w:lang w:val="zh-CN" w:eastAsia="zh-CN"/>
        </w:rPr>
        <w:t>）监测点位</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分别在公司污水调节池、事故池、废水排放口和徐州工业园区污水处理厂尾水排放口上、下游设置事故废水监测点。</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根据监测结果对污染物变化趋势进行分析和对污染扩散范围进行预测的方法，可适时调整监测点位。</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2</w:t>
      </w:r>
      <w:r>
        <w:rPr>
          <w:rFonts w:hint="eastAsia" w:ascii="Times New Roman" w:hAnsi="Times New Roman" w:eastAsia="仿宋" w:cs="Times New Roman"/>
          <w:color w:val="auto"/>
          <w:sz w:val="28"/>
          <w:szCs w:val="28"/>
          <w:lang w:val="zh-CN" w:eastAsia="zh-CN"/>
        </w:rPr>
        <w:t>）监测频次</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水环境污染事故发生后立即监测，事故后24小时后再监测一次。</w:t>
      </w:r>
    </w:p>
    <w:p>
      <w:pPr>
        <w:widowControl w:val="0"/>
        <w:wordWrap/>
        <w:adjustRightInd/>
        <w:snapToGrid w:val="0"/>
        <w:spacing w:beforeAutospacing="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w:t>
      </w:r>
      <w:r>
        <w:rPr>
          <w:rFonts w:hint="eastAsia" w:ascii="Times New Roman" w:hAnsi="Times New Roman" w:eastAsia="仿宋" w:cs="Times New Roman"/>
          <w:color w:val="auto"/>
          <w:sz w:val="28"/>
          <w:szCs w:val="28"/>
          <w:lang w:val="en-US" w:eastAsia="zh-CN"/>
        </w:rPr>
        <w:t>3</w:t>
      </w:r>
      <w:r>
        <w:rPr>
          <w:rFonts w:hint="eastAsia" w:ascii="Times New Roman" w:hAnsi="Times New Roman" w:eastAsia="仿宋" w:cs="Times New Roman"/>
          <w:color w:val="auto"/>
          <w:sz w:val="28"/>
          <w:szCs w:val="28"/>
          <w:lang w:val="zh-CN" w:eastAsia="zh-CN"/>
        </w:rPr>
        <w:t>）监测项目</w:t>
      </w:r>
    </w:p>
    <w:p>
      <w:pPr>
        <w:snapToGrid w:val="0"/>
        <w:spacing w:line="240" w:lineRule="auto"/>
        <w:ind w:firstLine="560" w:firstLineChars="200"/>
        <w:rPr>
          <w:rFonts w:hint="eastAsia" w:ascii="宋体" w:hAnsi="宋体"/>
          <w:color w:val="auto"/>
          <w:sz w:val="28"/>
          <w:szCs w:val="28"/>
        </w:rPr>
      </w:pPr>
      <w:r>
        <w:rPr>
          <w:rFonts w:hint="eastAsia" w:ascii="Times New Roman" w:hAnsi="Times New Roman" w:eastAsia="仿宋" w:cs="Times New Roman"/>
          <w:color w:val="auto"/>
          <w:sz w:val="28"/>
          <w:szCs w:val="28"/>
          <w:lang w:val="zh-CN" w:eastAsia="zh-CN"/>
        </w:rPr>
        <w:t>水环境监测：</w:t>
      </w:r>
      <w:r>
        <w:rPr>
          <w:rFonts w:hint="eastAsia" w:ascii="Times New Roman" w:hAnsi="Times New Roman" w:eastAsia="仿宋" w:cs="Times New Roman"/>
          <w:color w:val="auto"/>
          <w:sz w:val="28"/>
          <w:szCs w:val="28"/>
          <w:lang w:val="en-US" w:eastAsia="zh-CN"/>
        </w:rPr>
        <w:t>p</w:t>
      </w:r>
      <w:r>
        <w:rPr>
          <w:rFonts w:hint="eastAsia" w:ascii="Times New Roman" w:hAnsi="Times New Roman" w:eastAsia="仿宋" w:cs="Times New Roman"/>
          <w:color w:val="auto"/>
          <w:sz w:val="28"/>
          <w:szCs w:val="28"/>
          <w:lang w:val="zh-CN" w:eastAsia="zh-CN"/>
        </w:rPr>
        <w:t>H、COD、BOD</w:t>
      </w:r>
      <w:r>
        <w:rPr>
          <w:rFonts w:hint="eastAsia" w:ascii="Times New Roman" w:hAnsi="Times New Roman" w:eastAsia="仿宋" w:cs="Times New Roman"/>
          <w:color w:val="auto"/>
          <w:sz w:val="28"/>
          <w:szCs w:val="28"/>
          <w:vertAlign w:val="subscript"/>
          <w:lang w:val="zh-CN" w:eastAsia="zh-CN"/>
        </w:rPr>
        <w:t>5</w:t>
      </w:r>
      <w:r>
        <w:rPr>
          <w:rFonts w:hint="eastAsia" w:ascii="Times New Roman" w:hAnsi="Times New Roman" w:eastAsia="仿宋" w:cs="Times New Roman"/>
          <w:color w:val="auto"/>
          <w:sz w:val="28"/>
          <w:szCs w:val="28"/>
          <w:lang w:val="zh-CN" w:eastAsia="zh-CN"/>
        </w:rPr>
        <w:t>、NH</w:t>
      </w:r>
      <w:r>
        <w:rPr>
          <w:rFonts w:hint="eastAsia" w:ascii="Times New Roman" w:hAnsi="Times New Roman" w:eastAsia="仿宋" w:cs="Times New Roman"/>
          <w:color w:val="auto"/>
          <w:sz w:val="28"/>
          <w:szCs w:val="28"/>
          <w:vertAlign w:val="subscript"/>
          <w:lang w:val="zh-CN" w:eastAsia="zh-CN"/>
        </w:rPr>
        <w:t>3</w:t>
      </w:r>
      <w:r>
        <w:rPr>
          <w:rFonts w:hint="eastAsia" w:ascii="Times New Roman" w:hAnsi="Times New Roman" w:eastAsia="仿宋" w:cs="Times New Roman"/>
          <w:color w:val="auto"/>
          <w:sz w:val="28"/>
          <w:szCs w:val="28"/>
          <w:lang w:val="zh-CN" w:eastAsia="zh-CN"/>
        </w:rPr>
        <w:t>-N、SS。</w:t>
      </w:r>
    </w:p>
    <w:p>
      <w:pPr>
        <w:snapToGrid w:val="0"/>
        <w:spacing w:beforeLines="50" w:afterLines="50" w:line="500" w:lineRule="exact"/>
        <w:rPr>
          <w:rFonts w:hint="eastAsia" w:ascii="Times New Roman" w:hAnsi="Times New Roman" w:eastAsia="仿宋" w:cs="Times New Roman"/>
          <w:b/>
          <w:color w:val="auto"/>
          <w:sz w:val="28"/>
          <w:szCs w:val="28"/>
          <w:lang w:val="zh-CN" w:eastAsia="zh-CN"/>
        </w:rPr>
      </w:pPr>
      <w:r>
        <w:rPr>
          <w:rFonts w:hint="eastAsia" w:ascii="Times New Roman" w:hAnsi="Times New Roman" w:eastAsia="仿宋" w:cs="Times New Roman"/>
          <w:b/>
          <w:color w:val="auto"/>
          <w:sz w:val="28"/>
          <w:szCs w:val="28"/>
          <w:lang w:val="zh-CN" w:eastAsia="zh-CN"/>
        </w:rPr>
        <w:t>7.</w:t>
      </w:r>
      <w:r>
        <w:rPr>
          <w:rFonts w:hint="eastAsia" w:ascii="Times New Roman" w:hAnsi="Times New Roman" w:eastAsia="仿宋" w:cs="Times New Roman"/>
          <w:b/>
          <w:color w:val="auto"/>
          <w:sz w:val="28"/>
          <w:szCs w:val="28"/>
          <w:lang w:val="en-US" w:eastAsia="zh-CN"/>
        </w:rPr>
        <w:t>3</w:t>
      </w:r>
      <w:r>
        <w:rPr>
          <w:rFonts w:hint="eastAsia" w:ascii="Times New Roman" w:hAnsi="Times New Roman" w:eastAsia="仿宋" w:cs="Times New Roman"/>
          <w:b/>
          <w:color w:val="auto"/>
          <w:sz w:val="28"/>
          <w:szCs w:val="28"/>
          <w:lang w:val="zh-CN" w:eastAsia="zh-CN"/>
        </w:rPr>
        <w:t>.1.3应急监测主要仪器及器材</w:t>
      </w:r>
    </w:p>
    <w:p>
      <w:pPr>
        <w:snapToGrid w:val="0"/>
        <w:spacing w:line="500" w:lineRule="exact"/>
        <w:ind w:firstLine="560" w:firstLineChars="200"/>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应急监测主要仪器及器材见表7.4-1。</w:t>
      </w:r>
    </w:p>
    <w:p>
      <w:pPr>
        <w:snapToGrid w:val="0"/>
        <w:spacing w:line="500" w:lineRule="exact"/>
        <w:jc w:val="center"/>
        <w:rPr>
          <w:rFonts w:hint="eastAsia" w:ascii="Times New Roman" w:hAnsi="Times New Roman" w:eastAsia="仿宋" w:cs="Times New Roman"/>
          <w:b/>
          <w:bCs/>
          <w:color w:val="auto"/>
          <w:sz w:val="24"/>
          <w:szCs w:val="24"/>
          <w:lang w:val="zh-CN" w:eastAsia="zh-CN"/>
        </w:rPr>
      </w:pPr>
      <w:r>
        <w:rPr>
          <w:rFonts w:hint="eastAsia" w:ascii="Times New Roman" w:hAnsi="Times New Roman" w:eastAsia="仿宋" w:cs="Times New Roman"/>
          <w:b/>
          <w:bCs/>
          <w:color w:val="auto"/>
          <w:sz w:val="24"/>
          <w:szCs w:val="24"/>
          <w:lang w:val="zh-CN" w:eastAsia="zh-CN"/>
        </w:rPr>
        <w:t>表7.4-1 应急监测主要仪器及器材</w:t>
      </w:r>
    </w:p>
    <w:tbl>
      <w:tblPr>
        <w:tblStyle w:val="21"/>
        <w:tblW w:w="894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375"/>
        <w:gridCol w:w="65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5" w:type="dxa"/>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类</w:t>
            </w:r>
            <w:r>
              <w:rPr>
                <w:rFonts w:hint="default"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rPr>
              <w:t>别</w:t>
            </w:r>
          </w:p>
        </w:tc>
        <w:tc>
          <w:tcPr>
            <w:tcW w:w="6572" w:type="dxa"/>
            <w:vAlign w:val="center"/>
          </w:tcPr>
          <w:p>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名</w:t>
            </w:r>
            <w:r>
              <w:rPr>
                <w:rFonts w:hint="default"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rPr>
              <w:t>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5" w:type="dxa"/>
            <w:vMerge w:val="restart"/>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现场监测器材</w:t>
            </w:r>
          </w:p>
        </w:tc>
        <w:tc>
          <w:tcPr>
            <w:tcW w:w="6572"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COD快速测定仪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5" w:type="dxa"/>
            <w:vMerge w:val="continue"/>
            <w:vAlign w:val="center"/>
          </w:tcPr>
          <w:p>
            <w:pPr>
              <w:snapToGrid w:val="0"/>
              <w:jc w:val="center"/>
              <w:rPr>
                <w:rFonts w:hint="default" w:ascii="Times New Roman" w:hAnsi="Times New Roman" w:eastAsia="仿宋" w:cs="Times New Roman"/>
                <w:color w:val="auto"/>
                <w:sz w:val="21"/>
                <w:szCs w:val="21"/>
              </w:rPr>
            </w:pPr>
          </w:p>
        </w:tc>
        <w:tc>
          <w:tcPr>
            <w:tcW w:w="6572"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CO采集袋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5" w:type="dxa"/>
            <w:vMerge w:val="continue"/>
            <w:vAlign w:val="center"/>
          </w:tcPr>
          <w:p>
            <w:pPr>
              <w:snapToGrid w:val="0"/>
              <w:jc w:val="center"/>
              <w:rPr>
                <w:rFonts w:hint="default" w:ascii="Times New Roman" w:hAnsi="Times New Roman" w:eastAsia="仿宋" w:cs="Times New Roman"/>
                <w:color w:val="auto"/>
                <w:sz w:val="21"/>
                <w:szCs w:val="21"/>
              </w:rPr>
            </w:pPr>
          </w:p>
        </w:tc>
        <w:tc>
          <w:tcPr>
            <w:tcW w:w="6572"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pH精密试纸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5" w:type="dxa"/>
            <w:vMerge w:val="continue"/>
            <w:vAlign w:val="center"/>
          </w:tcPr>
          <w:p>
            <w:pPr>
              <w:snapToGrid w:val="0"/>
              <w:jc w:val="center"/>
              <w:rPr>
                <w:rFonts w:hint="default" w:ascii="Times New Roman" w:hAnsi="Times New Roman" w:eastAsia="仿宋" w:cs="Times New Roman"/>
                <w:color w:val="auto"/>
                <w:sz w:val="21"/>
                <w:szCs w:val="21"/>
              </w:rPr>
            </w:pPr>
          </w:p>
        </w:tc>
        <w:tc>
          <w:tcPr>
            <w:tcW w:w="6572"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便携式可燃气体检测仪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5" w:type="dxa"/>
            <w:vMerge w:val="restart"/>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实验室仪器</w:t>
            </w:r>
          </w:p>
        </w:tc>
        <w:tc>
          <w:tcPr>
            <w:tcW w:w="6572"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分光光度计（COD）</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5" w:type="dxa"/>
            <w:vMerge w:val="continue"/>
            <w:vAlign w:val="center"/>
          </w:tcPr>
          <w:p>
            <w:pPr>
              <w:snapToGrid w:val="0"/>
              <w:jc w:val="center"/>
              <w:rPr>
                <w:rFonts w:hint="default" w:ascii="Times New Roman" w:hAnsi="Times New Roman" w:eastAsia="仿宋" w:cs="Times New Roman"/>
                <w:color w:val="auto"/>
                <w:sz w:val="21"/>
                <w:szCs w:val="21"/>
              </w:rPr>
            </w:pPr>
          </w:p>
        </w:tc>
        <w:tc>
          <w:tcPr>
            <w:tcW w:w="6572"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pH计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5" w:type="dxa"/>
            <w:vMerge w:val="continue"/>
            <w:vAlign w:val="center"/>
          </w:tcPr>
          <w:p>
            <w:pPr>
              <w:snapToGrid w:val="0"/>
              <w:jc w:val="center"/>
              <w:rPr>
                <w:rFonts w:hint="default" w:ascii="Times New Roman" w:hAnsi="Times New Roman" w:eastAsia="仿宋" w:cs="Times New Roman"/>
                <w:color w:val="auto"/>
                <w:sz w:val="21"/>
                <w:szCs w:val="21"/>
              </w:rPr>
            </w:pPr>
          </w:p>
        </w:tc>
        <w:tc>
          <w:tcPr>
            <w:tcW w:w="6572"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红外线CO分析仪（CO）</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5" w:type="dxa"/>
            <w:vMerge w:val="continue"/>
            <w:vAlign w:val="center"/>
          </w:tcPr>
          <w:p>
            <w:pPr>
              <w:snapToGrid w:val="0"/>
              <w:jc w:val="center"/>
              <w:rPr>
                <w:rFonts w:hint="default" w:ascii="Times New Roman" w:hAnsi="Times New Roman" w:eastAsia="仿宋" w:cs="Times New Roman"/>
                <w:color w:val="auto"/>
                <w:sz w:val="21"/>
                <w:szCs w:val="21"/>
              </w:rPr>
            </w:pPr>
          </w:p>
        </w:tc>
        <w:tc>
          <w:tcPr>
            <w:tcW w:w="6572"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色谱</w:t>
            </w:r>
            <w:r>
              <w:rPr>
                <w:rFonts w:hint="eastAsia" w:ascii="Times New Roman" w:hAnsi="Times New Roman" w:eastAsia="仿宋" w:cs="Times New Roman"/>
                <w:color w:val="auto"/>
                <w:sz w:val="21"/>
                <w:szCs w:val="21"/>
                <w:lang w:eastAsia="zh-CN"/>
              </w:rPr>
              <w:t>仪</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VOCs</w:t>
            </w: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5" w:type="dxa"/>
            <w:vMerge w:val="restart"/>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个人防护器材</w:t>
            </w:r>
          </w:p>
        </w:tc>
        <w:tc>
          <w:tcPr>
            <w:tcW w:w="6572"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防毒面具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75" w:type="dxa"/>
            <w:vMerge w:val="continue"/>
            <w:vAlign w:val="center"/>
          </w:tcPr>
          <w:p>
            <w:pPr>
              <w:snapToGrid w:val="0"/>
              <w:jc w:val="center"/>
              <w:rPr>
                <w:rFonts w:hint="default" w:ascii="Times New Roman" w:hAnsi="Times New Roman" w:eastAsia="仿宋" w:cs="Times New Roman"/>
                <w:color w:val="auto"/>
                <w:sz w:val="21"/>
                <w:szCs w:val="21"/>
              </w:rPr>
            </w:pPr>
          </w:p>
        </w:tc>
        <w:tc>
          <w:tcPr>
            <w:tcW w:w="6572" w:type="dxa"/>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橡胶手套</w:t>
            </w:r>
          </w:p>
        </w:tc>
      </w:tr>
    </w:tbl>
    <w:p>
      <w:pPr>
        <w:snapToGrid w:val="0"/>
        <w:spacing w:beforeLines="50" w:afterLines="50" w:line="500" w:lineRule="exact"/>
        <w:rPr>
          <w:rFonts w:hint="eastAsia" w:ascii="Times New Roman" w:hAnsi="Times New Roman" w:eastAsia="仿宋" w:cs="Times New Roman"/>
          <w:b/>
          <w:color w:val="auto"/>
          <w:sz w:val="28"/>
          <w:szCs w:val="28"/>
          <w:lang w:val="zh-CN" w:eastAsia="zh-CN"/>
        </w:rPr>
      </w:pPr>
      <w:r>
        <w:rPr>
          <w:rFonts w:hint="eastAsia" w:ascii="Times New Roman" w:hAnsi="Times New Roman" w:eastAsia="仿宋" w:cs="Times New Roman"/>
          <w:b/>
          <w:color w:val="auto"/>
          <w:sz w:val="28"/>
          <w:szCs w:val="28"/>
          <w:lang w:val="zh-CN" w:eastAsia="zh-CN"/>
        </w:rPr>
        <w:t>7.</w:t>
      </w:r>
      <w:r>
        <w:rPr>
          <w:rFonts w:hint="eastAsia" w:ascii="Times New Roman" w:hAnsi="Times New Roman" w:eastAsia="仿宋" w:cs="Times New Roman"/>
          <w:b/>
          <w:color w:val="auto"/>
          <w:sz w:val="28"/>
          <w:szCs w:val="28"/>
          <w:lang w:val="en-US" w:eastAsia="zh-CN"/>
        </w:rPr>
        <w:t>3</w:t>
      </w:r>
      <w:r>
        <w:rPr>
          <w:rFonts w:hint="eastAsia" w:ascii="Times New Roman" w:hAnsi="Times New Roman" w:eastAsia="仿宋" w:cs="Times New Roman"/>
          <w:b/>
          <w:color w:val="auto"/>
          <w:sz w:val="28"/>
          <w:szCs w:val="28"/>
          <w:lang w:val="zh-CN" w:eastAsia="zh-CN"/>
        </w:rPr>
        <w:t>.1.4监测报告</w:t>
      </w:r>
    </w:p>
    <w:p>
      <w:pPr>
        <w:snapToGrid w:val="0"/>
        <w:spacing w:line="240" w:lineRule="auto"/>
        <w:ind w:firstLine="560" w:firstLineChars="200"/>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一般要求在到达现场后及时出具第一份监测报告，然后按照污染跟踪监测，预测污染迁移强度、速度和影响范围以及主管部门的意见及时编制报告，作为事故处理的技术依据，直至环境污染状况消除。</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en-US" w:eastAsia="zh-CN"/>
        </w:rPr>
      </w:pPr>
      <w:r>
        <w:rPr>
          <w:rFonts w:hint="eastAsia" w:ascii="Times New Roman" w:hAnsi="Times New Roman" w:eastAsia="仿宋" w:cs="Times New Roman"/>
          <w:color w:val="auto"/>
          <w:sz w:val="28"/>
          <w:szCs w:val="28"/>
          <w:lang w:val="zh-CN" w:eastAsia="zh-CN"/>
        </w:rPr>
        <w:t>应急监测工作结束后，编写应急监测工作总结并建档，对整个事件发生过程中形成的监测报告进行汇总分析，及时向应急处置应急领导小组报告，为以后环境污染事故的预警、监测、处理积累经验</w:t>
      </w:r>
      <w:r>
        <w:rPr>
          <w:rFonts w:hint="eastAsia" w:ascii="Times New Roman" w:hAnsi="Times New Roman" w:eastAsia="仿宋" w:cs="Times New Roman"/>
          <w:color w:val="auto"/>
          <w:sz w:val="28"/>
          <w:szCs w:val="28"/>
          <w:lang w:val="en-US" w:eastAsia="zh-CN"/>
        </w:rPr>
        <w:t>。</w:t>
      </w:r>
    </w:p>
    <w:p>
      <w:pPr>
        <w:pStyle w:val="6"/>
        <w:keepNext/>
        <w:keepLines/>
        <w:widowControl w:val="0"/>
        <w:adjustRightInd w:val="0"/>
        <w:snapToGrid w:val="0"/>
        <w:spacing w:beforeLines="50" w:afterLines="50" w:line="480" w:lineRule="exact"/>
        <w:ind w:left="0"/>
        <w:jc w:val="both"/>
        <w:outlineLvl w:val="2"/>
        <w:rPr>
          <w:rFonts w:hint="default" w:ascii="Times New Roman" w:hAnsi="Times New Roman" w:eastAsia="仿宋" w:cs="Times New Roman"/>
          <w:b/>
          <w:bCs/>
          <w:color w:val="auto"/>
          <w:sz w:val="28"/>
          <w:szCs w:val="28"/>
        </w:rPr>
      </w:pPr>
      <w:bookmarkStart w:id="330" w:name="_Toc8269"/>
      <w:r>
        <w:rPr>
          <w:rFonts w:hint="eastAsia" w:ascii="Times New Roman" w:hAnsi="Times New Roman" w:eastAsia="仿宋" w:cs="Times New Roman"/>
          <w:b/>
          <w:bCs/>
          <w:color w:val="auto"/>
          <w:sz w:val="28"/>
          <w:szCs w:val="28"/>
          <w:lang w:val="en-US" w:eastAsia="zh-CN"/>
        </w:rPr>
        <w:t>7.3.3</w:t>
      </w:r>
      <w:r>
        <w:rPr>
          <w:rFonts w:hint="default" w:ascii="Times New Roman" w:hAnsi="Times New Roman" w:eastAsia="仿宋" w:cs="Times New Roman"/>
          <w:b/>
          <w:bCs/>
          <w:color w:val="auto"/>
          <w:sz w:val="28"/>
          <w:szCs w:val="28"/>
        </w:rPr>
        <w:t>监测人员的防护措施</w:t>
      </w:r>
      <w:bookmarkEnd w:id="330"/>
    </w:p>
    <w:p>
      <w:pPr>
        <w:widowControl w:val="0"/>
        <w:numPr>
          <w:ilvl w:val="0"/>
          <w:numId w:val="0"/>
        </w:numPr>
        <w:wordWrap/>
        <w:adjustRightInd w:val="0"/>
        <w:snapToGrid w:val="0"/>
        <w:spacing w:line="240" w:lineRule="auto"/>
        <w:ind w:firstLine="560" w:firstLineChars="200"/>
        <w:textAlignment w:val="auto"/>
        <w:rPr>
          <w:rFonts w:hint="default" w:ascii="Times New Roman" w:hAnsi="Times New Roman" w:eastAsia="仿宋" w:cs="Times New Roman"/>
          <w:color w:val="auto"/>
          <w:sz w:val="28"/>
          <w:szCs w:val="28"/>
          <w:lang w:val="zh-CN" w:eastAsia="zh-CN"/>
        </w:rPr>
      </w:pPr>
      <w:r>
        <w:rPr>
          <w:rFonts w:hint="default" w:ascii="Times New Roman" w:hAnsi="Times New Roman" w:eastAsia="仿宋" w:cs="Times New Roman"/>
          <w:color w:val="auto"/>
          <w:sz w:val="28"/>
          <w:szCs w:val="28"/>
          <w:lang w:val="zh-CN" w:eastAsia="zh-CN"/>
        </w:rPr>
        <w:t>人员的防护：戴自给式防毒而具，防护手套，防护服。</w:t>
      </w:r>
    </w:p>
    <w:p>
      <w:pPr>
        <w:widowControl w:val="0"/>
        <w:numPr>
          <w:ilvl w:val="0"/>
          <w:numId w:val="0"/>
        </w:numPr>
        <w:wordWrap/>
        <w:adjustRightInd w:val="0"/>
        <w:snapToGrid w:val="0"/>
        <w:spacing w:line="240" w:lineRule="auto"/>
        <w:ind w:firstLine="560" w:firstLineChars="200"/>
        <w:textAlignment w:val="auto"/>
        <w:rPr>
          <w:rFonts w:hint="default" w:ascii="Times New Roman" w:hAnsi="Times New Roman" w:eastAsia="仿宋" w:cs="Times New Roman"/>
          <w:color w:val="auto"/>
          <w:sz w:val="28"/>
          <w:szCs w:val="28"/>
          <w:lang w:val="zh-CN" w:eastAsia="zh-CN"/>
        </w:rPr>
      </w:pPr>
      <w:r>
        <w:rPr>
          <w:rFonts w:hint="default" w:ascii="Times New Roman" w:hAnsi="Times New Roman" w:eastAsia="仿宋" w:cs="Times New Roman"/>
          <w:color w:val="auto"/>
          <w:sz w:val="28"/>
          <w:szCs w:val="28"/>
          <w:lang w:val="zh-CN" w:eastAsia="zh-CN"/>
        </w:rPr>
        <w:t>人员监护措施：必须双人进行一人负责监测，一人负责监护，一旦发现情况紧急，立即撤离，当人员受伤时应组织进行救援，首先进行现场处理，然后再送往医院就医治疗。</w:t>
      </w:r>
    </w:p>
    <w:p>
      <w:pPr>
        <w:pStyle w:val="6"/>
        <w:keepNext/>
        <w:keepLines/>
        <w:widowControl w:val="0"/>
        <w:adjustRightInd w:val="0"/>
        <w:snapToGrid w:val="0"/>
        <w:spacing w:beforeLines="50" w:afterLines="50" w:line="480" w:lineRule="exact"/>
        <w:ind w:left="0"/>
        <w:jc w:val="both"/>
        <w:outlineLvl w:val="2"/>
        <w:rPr>
          <w:rFonts w:hint="default" w:ascii="Times New Roman" w:hAnsi="Times New Roman" w:eastAsia="仿宋" w:cs="Times New Roman"/>
          <w:b/>
          <w:bCs/>
          <w:color w:val="auto"/>
          <w:sz w:val="28"/>
          <w:szCs w:val="28"/>
        </w:rPr>
      </w:pPr>
      <w:bookmarkStart w:id="331" w:name="_Toc14198"/>
      <w:bookmarkStart w:id="332" w:name="_Toc6629"/>
      <w:r>
        <w:rPr>
          <w:rFonts w:hint="default" w:ascii="Times New Roman" w:hAnsi="Times New Roman" w:eastAsia="仿宋" w:cs="Times New Roman"/>
          <w:b/>
          <w:bCs/>
          <w:color w:val="auto"/>
          <w:sz w:val="28"/>
          <w:szCs w:val="28"/>
        </w:rPr>
        <w:t>7.3.</w:t>
      </w:r>
      <w:r>
        <w:rPr>
          <w:rFonts w:hint="eastAsia" w:ascii="Times New Roman" w:hAnsi="Times New Roman" w:eastAsia="仿宋" w:cs="Times New Roman"/>
          <w:b/>
          <w:bCs/>
          <w:color w:val="auto"/>
          <w:sz w:val="28"/>
          <w:szCs w:val="28"/>
          <w:lang w:val="en-US" w:eastAsia="zh-CN"/>
        </w:rPr>
        <w:t>4</w:t>
      </w:r>
      <w:r>
        <w:rPr>
          <w:rFonts w:hint="default" w:ascii="Times New Roman" w:hAnsi="Times New Roman" w:eastAsia="仿宋" w:cs="Times New Roman"/>
          <w:b/>
          <w:bCs/>
          <w:color w:val="auto"/>
          <w:sz w:val="28"/>
          <w:szCs w:val="28"/>
        </w:rPr>
        <w:t>应急监测说明</w:t>
      </w:r>
      <w:bookmarkEnd w:id="331"/>
      <w:bookmarkEnd w:id="332"/>
    </w:p>
    <w:p>
      <w:pPr>
        <w:widowControl w:val="0"/>
        <w:numPr>
          <w:ilvl w:val="0"/>
          <w:numId w:val="0"/>
        </w:numPr>
        <w:wordWrap/>
        <w:adjustRightInd w:val="0"/>
        <w:snapToGrid w:val="0"/>
        <w:spacing w:line="240" w:lineRule="auto"/>
        <w:ind w:firstLine="560" w:firstLineChars="200"/>
        <w:textAlignment w:val="auto"/>
        <w:rPr>
          <w:rFonts w:hint="default" w:ascii="Times New Roman" w:hAnsi="Times New Roman" w:eastAsia="仿宋" w:cs="Times New Roman"/>
          <w:color w:val="auto"/>
          <w:sz w:val="28"/>
          <w:szCs w:val="28"/>
          <w:lang w:val="zh-CN" w:eastAsia="zh-CN"/>
        </w:rPr>
      </w:pPr>
      <w:r>
        <w:rPr>
          <w:rFonts w:hint="default" w:ascii="Times New Roman" w:hAnsi="Times New Roman" w:eastAsia="仿宋" w:cs="Times New Roman"/>
          <w:color w:val="auto"/>
          <w:sz w:val="28"/>
          <w:szCs w:val="28"/>
          <w:lang w:val="zh-CN" w:eastAsia="zh-CN"/>
        </w:rPr>
        <w:t>公司内部应急监测工作主要是由公司环境应急监测组完成，其主要工作为做好自身监测并配合外部监测机构做好应急监测。工作内容包括：</w:t>
      </w:r>
    </w:p>
    <w:p>
      <w:pPr>
        <w:widowControl w:val="0"/>
        <w:numPr>
          <w:ilvl w:val="0"/>
          <w:numId w:val="0"/>
        </w:numPr>
        <w:wordWrap/>
        <w:adjustRightInd w:val="0"/>
        <w:snapToGrid w:val="0"/>
        <w:spacing w:line="240" w:lineRule="auto"/>
        <w:ind w:firstLine="560" w:firstLineChars="200"/>
        <w:textAlignment w:val="auto"/>
        <w:rPr>
          <w:rFonts w:hint="default" w:ascii="Times New Roman" w:hAnsi="Times New Roman" w:eastAsia="仿宋" w:cs="Times New Roman"/>
          <w:color w:val="auto"/>
          <w:sz w:val="28"/>
          <w:szCs w:val="28"/>
          <w:lang w:val="zh-CN" w:eastAsia="zh-CN"/>
        </w:rPr>
      </w:pPr>
      <w:r>
        <w:rPr>
          <w:rFonts w:hint="default" w:ascii="Times New Roman" w:hAnsi="Times New Roman" w:eastAsia="仿宋" w:cs="Times New Roman"/>
          <w:color w:val="auto"/>
          <w:sz w:val="28"/>
          <w:szCs w:val="28"/>
          <w:lang w:val="zh-CN" w:eastAsia="zh-CN"/>
        </w:rPr>
        <w:t>（1）应急环境监测组接到应急监测任务后，积极开展自身监测活动,并了解现场情况，在指挥部的指示下及时同环境监测机构联系，沟通、配合监测机构确定应急监测方法；</w:t>
      </w:r>
    </w:p>
    <w:p>
      <w:pPr>
        <w:widowControl w:val="0"/>
        <w:numPr>
          <w:ilvl w:val="0"/>
          <w:numId w:val="0"/>
        </w:numPr>
        <w:wordWrap/>
        <w:adjustRightInd w:val="0"/>
        <w:snapToGrid w:val="0"/>
        <w:spacing w:line="240" w:lineRule="auto"/>
        <w:ind w:firstLine="560" w:firstLineChars="200"/>
        <w:textAlignment w:val="auto"/>
        <w:rPr>
          <w:rFonts w:hint="default" w:ascii="Times New Roman" w:hAnsi="Times New Roman" w:eastAsia="仿宋" w:cs="Times New Roman"/>
          <w:color w:val="auto"/>
          <w:sz w:val="28"/>
          <w:szCs w:val="28"/>
          <w:lang w:val="zh-CN" w:eastAsia="zh-CN"/>
        </w:rPr>
      </w:pPr>
      <w:r>
        <w:rPr>
          <w:rFonts w:hint="default" w:ascii="Times New Roman" w:hAnsi="Times New Roman" w:eastAsia="仿宋" w:cs="Times New Roman"/>
          <w:color w:val="auto"/>
          <w:sz w:val="28"/>
          <w:szCs w:val="28"/>
          <w:lang w:val="zh-CN" w:eastAsia="zh-CN"/>
        </w:rPr>
        <w:t>（2）配合监测机构对事故现场进行处理、分类，监控所收集的废物、被污染的土壤、地表水或其他污染材料，确定现场污染物排放情况，确定疏散和影响范围；</w:t>
      </w:r>
    </w:p>
    <w:p>
      <w:pPr>
        <w:widowControl w:val="0"/>
        <w:numPr>
          <w:ilvl w:val="0"/>
          <w:numId w:val="0"/>
        </w:numPr>
        <w:wordWrap/>
        <w:adjustRightInd w:val="0"/>
        <w:snapToGrid w:val="0"/>
        <w:spacing w:line="240" w:lineRule="auto"/>
        <w:ind w:firstLine="560" w:firstLineChars="200"/>
        <w:textAlignment w:val="auto"/>
        <w:rPr>
          <w:rFonts w:hint="default" w:ascii="Times New Roman" w:hAnsi="Times New Roman" w:eastAsia="仿宋" w:cs="Times New Roman"/>
          <w:color w:val="auto"/>
          <w:sz w:val="28"/>
          <w:szCs w:val="28"/>
          <w:lang w:val="zh-CN" w:eastAsia="zh-CN"/>
        </w:rPr>
      </w:pPr>
      <w:r>
        <w:rPr>
          <w:rFonts w:hint="default" w:ascii="Times New Roman" w:hAnsi="Times New Roman" w:eastAsia="仿宋" w:cs="Times New Roman"/>
          <w:color w:val="auto"/>
          <w:sz w:val="28"/>
          <w:szCs w:val="28"/>
          <w:lang w:val="zh-CN" w:eastAsia="zh-CN"/>
        </w:rPr>
        <w:t>（3）配合监测机构在合理区域搭建监测器材，帮助监测人员分发试剂及防护用品，同时做好现场实验室分析的准备工作；</w:t>
      </w:r>
    </w:p>
    <w:p>
      <w:pPr>
        <w:widowControl w:val="0"/>
        <w:numPr>
          <w:ilvl w:val="0"/>
          <w:numId w:val="0"/>
        </w:numPr>
        <w:wordWrap/>
        <w:adjustRightInd w:val="0"/>
        <w:snapToGrid w:val="0"/>
        <w:spacing w:line="240" w:lineRule="auto"/>
        <w:ind w:firstLine="560" w:firstLineChars="200"/>
        <w:textAlignment w:val="auto"/>
        <w:rPr>
          <w:rFonts w:hint="default" w:ascii="Times New Roman" w:hAnsi="Times New Roman" w:eastAsia="仿宋" w:cs="Times New Roman"/>
          <w:color w:val="auto"/>
          <w:sz w:val="28"/>
          <w:szCs w:val="28"/>
          <w:lang w:val="zh-CN" w:eastAsia="zh-CN"/>
        </w:rPr>
      </w:pPr>
      <w:r>
        <w:rPr>
          <w:rFonts w:hint="default" w:ascii="Times New Roman" w:hAnsi="Times New Roman" w:eastAsia="仿宋" w:cs="Times New Roman"/>
          <w:color w:val="auto"/>
          <w:sz w:val="28"/>
          <w:szCs w:val="28"/>
          <w:lang w:val="zh-CN" w:eastAsia="zh-CN"/>
        </w:rPr>
        <w:t>（4）向监测机构提供公司平面布置图、事故发生地的水文、气象和地域特点等资料，便于监测机构在第一时间内对污染物扩散的区域、方向及可能影响的河流等敏感地区进行预判；</w:t>
      </w:r>
    </w:p>
    <w:p>
      <w:pPr>
        <w:widowControl w:val="0"/>
        <w:numPr>
          <w:ilvl w:val="0"/>
          <w:numId w:val="0"/>
        </w:numPr>
        <w:wordWrap/>
        <w:adjustRightInd w:val="0"/>
        <w:snapToGrid w:val="0"/>
        <w:spacing w:line="240" w:lineRule="auto"/>
        <w:ind w:firstLine="560" w:firstLineChars="200"/>
        <w:textAlignment w:val="auto"/>
        <w:rPr>
          <w:rFonts w:hint="default" w:ascii="Times New Roman" w:hAnsi="Times New Roman" w:eastAsia="仿宋" w:cs="Times New Roman"/>
          <w:color w:val="auto"/>
          <w:sz w:val="28"/>
          <w:szCs w:val="28"/>
          <w:lang w:val="zh-CN" w:eastAsia="zh-CN"/>
        </w:rPr>
      </w:pPr>
      <w:r>
        <w:rPr>
          <w:rFonts w:hint="default" w:ascii="Times New Roman" w:hAnsi="Times New Roman" w:eastAsia="仿宋" w:cs="Times New Roman"/>
          <w:color w:val="auto"/>
          <w:sz w:val="28"/>
          <w:szCs w:val="28"/>
          <w:lang w:val="zh-CN" w:eastAsia="zh-CN"/>
        </w:rPr>
        <w:t>（5）在监测机构的要求下，按照监测机构的操作说明，配合监测机构进行采样工作，争取时间，做好配合工作；</w:t>
      </w:r>
    </w:p>
    <w:p>
      <w:pPr>
        <w:widowControl w:val="0"/>
        <w:numPr>
          <w:ilvl w:val="0"/>
          <w:numId w:val="0"/>
        </w:numPr>
        <w:wordWrap/>
        <w:adjustRightInd w:val="0"/>
        <w:snapToGrid w:val="0"/>
        <w:spacing w:line="240" w:lineRule="auto"/>
        <w:ind w:firstLine="560" w:firstLineChars="200"/>
        <w:textAlignment w:val="auto"/>
        <w:rPr>
          <w:rFonts w:hint="default" w:ascii="Times New Roman" w:hAnsi="Times New Roman" w:eastAsia="仿宋" w:cs="Times New Roman"/>
          <w:color w:val="auto"/>
          <w:sz w:val="28"/>
          <w:szCs w:val="28"/>
          <w:lang w:val="zh-CN" w:eastAsia="zh-CN"/>
        </w:rPr>
      </w:pPr>
      <w:r>
        <w:rPr>
          <w:rFonts w:hint="default" w:ascii="Times New Roman" w:hAnsi="Times New Roman" w:eastAsia="仿宋" w:cs="Times New Roman"/>
          <w:color w:val="auto"/>
          <w:sz w:val="28"/>
          <w:szCs w:val="28"/>
          <w:lang w:val="zh-CN" w:eastAsia="zh-CN"/>
        </w:rPr>
        <w:t>（6）配合监测机构进行综合分析，提出建议，并及时上报应急指挥部相应的检测结果。</w:t>
      </w:r>
    </w:p>
    <w:p>
      <w:pPr>
        <w:widowControl w:val="0"/>
        <w:numPr>
          <w:ilvl w:val="0"/>
          <w:numId w:val="0"/>
        </w:numPr>
        <w:wordWrap/>
        <w:adjustRightInd w:val="0"/>
        <w:snapToGrid w:val="0"/>
        <w:spacing w:line="240" w:lineRule="auto"/>
        <w:ind w:firstLine="560" w:firstLineChars="200"/>
        <w:textAlignment w:val="auto"/>
        <w:rPr>
          <w:rFonts w:hint="default" w:ascii="Times New Roman" w:hAnsi="Times New Roman" w:eastAsia="仿宋" w:cs="Times New Roman"/>
          <w:color w:val="auto"/>
          <w:sz w:val="28"/>
          <w:szCs w:val="28"/>
          <w:lang w:val="zh-CN" w:eastAsia="zh-CN"/>
        </w:rPr>
      </w:pPr>
      <w:r>
        <w:rPr>
          <w:rFonts w:hint="default" w:ascii="Times New Roman" w:hAnsi="Times New Roman" w:eastAsia="仿宋" w:cs="Times New Roman"/>
          <w:color w:val="auto"/>
          <w:sz w:val="28"/>
          <w:szCs w:val="28"/>
          <w:lang w:val="zh-CN" w:eastAsia="zh-CN"/>
        </w:rPr>
        <w:t>（7）密切注意厂区循环水系统情况，密切注意厂区事故水池情况。保持通讯畅通，注意事态发展，尤其是废水出现外溢的情况，及时向应急救援指挥部报告；</w:t>
      </w:r>
    </w:p>
    <w:p>
      <w:pPr>
        <w:widowControl w:val="0"/>
        <w:numPr>
          <w:ilvl w:val="0"/>
          <w:numId w:val="0"/>
        </w:numPr>
        <w:wordWrap/>
        <w:adjustRightInd w:val="0"/>
        <w:snapToGrid w:val="0"/>
        <w:spacing w:line="240" w:lineRule="auto"/>
        <w:ind w:firstLine="560" w:firstLineChars="200"/>
        <w:textAlignment w:val="auto"/>
        <w:rPr>
          <w:rFonts w:hint="default" w:ascii="Times New Roman" w:hAnsi="Times New Roman" w:eastAsia="仿宋" w:cs="Times New Roman"/>
          <w:color w:val="auto"/>
          <w:sz w:val="28"/>
          <w:szCs w:val="28"/>
          <w:lang w:val="zh-CN" w:eastAsia="zh-CN"/>
        </w:rPr>
      </w:pPr>
      <w:r>
        <w:rPr>
          <w:rFonts w:hint="default" w:ascii="Times New Roman" w:hAnsi="Times New Roman" w:eastAsia="仿宋" w:cs="Times New Roman"/>
          <w:color w:val="auto"/>
          <w:sz w:val="28"/>
          <w:szCs w:val="28"/>
          <w:lang w:val="zh-CN" w:eastAsia="zh-CN"/>
        </w:rPr>
        <w:t>（8）配合监测机构进行后期污染监测和治理，包括处理、分类或处置所收集的废物、被污染的土壤、地表水或其他材料。</w:t>
      </w:r>
    </w:p>
    <w:p>
      <w:pPr>
        <w:pStyle w:val="10"/>
        <w:widowControl w:val="0"/>
        <w:wordWrap/>
        <w:adjustRightInd/>
        <w:snapToGrid/>
        <w:spacing w:before="0" w:beforeAutospacing="0" w:line="360" w:lineRule="auto"/>
        <w:ind w:right="0"/>
        <w:jc w:val="left"/>
        <w:textAlignment w:val="auto"/>
        <w:outlineLvl w:val="1"/>
        <w:rPr>
          <w:rFonts w:hint="default" w:ascii="Times New Roman" w:hAnsi="Times New Roman" w:eastAsia="仿宋" w:cs="Times New Roman"/>
          <w:b/>
          <w:bCs/>
          <w:color w:val="auto"/>
          <w:sz w:val="30"/>
          <w:szCs w:val="30"/>
        </w:rPr>
      </w:pPr>
      <w:bookmarkStart w:id="333" w:name="8.5应急终止"/>
      <w:bookmarkEnd w:id="333"/>
      <w:bookmarkStart w:id="334" w:name="_Toc29652"/>
      <w:r>
        <w:rPr>
          <w:rFonts w:hint="eastAsia" w:ascii="Times New Roman" w:hAnsi="Times New Roman" w:cs="Times New Roman"/>
          <w:b/>
          <w:bCs/>
          <w:color w:val="auto"/>
          <w:sz w:val="30"/>
          <w:szCs w:val="30"/>
          <w:lang w:val="en-US" w:eastAsia="zh-CN"/>
        </w:rPr>
        <w:t>7</w:t>
      </w:r>
      <w:r>
        <w:rPr>
          <w:rFonts w:hint="default" w:ascii="Times New Roman" w:hAnsi="Times New Roman" w:eastAsia="仿宋" w:cs="Times New Roman"/>
          <w:b/>
          <w:bCs/>
          <w:color w:val="auto"/>
          <w:sz w:val="30"/>
          <w:szCs w:val="30"/>
        </w:rPr>
        <w:t>.</w:t>
      </w:r>
      <w:r>
        <w:rPr>
          <w:rFonts w:hint="eastAsia" w:ascii="Times New Roman" w:hAnsi="Times New Roman" w:cs="Times New Roman"/>
          <w:b/>
          <w:bCs/>
          <w:color w:val="auto"/>
          <w:sz w:val="30"/>
          <w:szCs w:val="30"/>
          <w:lang w:val="en-US" w:eastAsia="zh-CN"/>
        </w:rPr>
        <w:t>4</w:t>
      </w:r>
      <w:r>
        <w:rPr>
          <w:rFonts w:hint="default" w:ascii="Times New Roman" w:hAnsi="Times New Roman" w:eastAsia="仿宋" w:cs="Times New Roman"/>
          <w:b/>
          <w:bCs/>
          <w:color w:val="auto"/>
          <w:sz w:val="30"/>
          <w:szCs w:val="30"/>
        </w:rPr>
        <w:t xml:space="preserve"> 应急终止</w:t>
      </w:r>
      <w:bookmarkEnd w:id="334"/>
    </w:p>
    <w:p>
      <w:pPr>
        <w:pStyle w:val="6"/>
        <w:keepNext/>
        <w:keepLines/>
        <w:widowControl w:val="0"/>
        <w:wordWrap/>
        <w:adjustRightInd w:val="0"/>
        <w:snapToGrid w:val="0"/>
        <w:spacing w:before="0" w:beforeAutospacing="0" w:after="0" w:line="360" w:lineRule="auto"/>
        <w:ind w:left="0"/>
        <w:jc w:val="both"/>
        <w:textAlignment w:val="auto"/>
        <w:outlineLvl w:val="2"/>
        <w:rPr>
          <w:rFonts w:hint="eastAsia" w:ascii="Times New Roman" w:hAnsi="Times New Roman" w:eastAsia="仿宋" w:cs="Times New Roman"/>
          <w:b/>
          <w:bCs/>
          <w:color w:val="auto"/>
          <w:sz w:val="28"/>
          <w:szCs w:val="28"/>
          <w:lang w:val="en-US" w:eastAsia="zh-CN"/>
        </w:rPr>
      </w:pPr>
      <w:bookmarkStart w:id="335" w:name="8.5.1应急终止的条件"/>
      <w:bookmarkEnd w:id="335"/>
      <w:bookmarkStart w:id="336" w:name="_Toc12433"/>
      <w:r>
        <w:rPr>
          <w:rFonts w:hint="eastAsia" w:ascii="Times New Roman" w:hAnsi="Times New Roman" w:cs="Times New Roman"/>
          <w:b/>
          <w:bCs/>
          <w:color w:val="auto"/>
          <w:sz w:val="28"/>
          <w:szCs w:val="28"/>
          <w:lang w:val="en-US" w:eastAsia="zh-CN"/>
        </w:rPr>
        <w:t>7</w:t>
      </w:r>
      <w:r>
        <w:rPr>
          <w:rFonts w:hint="default" w:ascii="Times New Roman" w:hAnsi="Times New Roman" w:eastAsia="仿宋" w:cs="Times New Roman"/>
          <w:b/>
          <w:bCs/>
          <w:color w:val="auto"/>
          <w:sz w:val="28"/>
          <w:szCs w:val="28"/>
          <w:lang w:val="en-US" w:eastAsia="zh-CN"/>
        </w:rPr>
        <w:t>.</w:t>
      </w:r>
      <w:r>
        <w:rPr>
          <w:rFonts w:hint="eastAsia" w:ascii="Times New Roman" w:hAnsi="Times New Roman" w:eastAsia="仿宋" w:cs="Times New Roman"/>
          <w:b/>
          <w:bCs/>
          <w:color w:val="auto"/>
          <w:sz w:val="28"/>
          <w:szCs w:val="28"/>
          <w:lang w:val="en-US" w:eastAsia="zh-CN"/>
        </w:rPr>
        <w:t>4</w:t>
      </w:r>
      <w:r>
        <w:rPr>
          <w:rFonts w:hint="default" w:ascii="Times New Roman" w:hAnsi="Times New Roman" w:eastAsia="仿宋" w:cs="Times New Roman"/>
          <w:b/>
          <w:bCs/>
          <w:color w:val="auto"/>
          <w:sz w:val="28"/>
          <w:szCs w:val="28"/>
          <w:lang w:val="en-US" w:eastAsia="zh-CN"/>
        </w:rPr>
        <w:t>.1 应急终止的条件</w:t>
      </w:r>
      <w:bookmarkEnd w:id="336"/>
      <w:r>
        <w:rPr>
          <w:rFonts w:hint="eastAsia" w:ascii="Times New Roman" w:hAnsi="Times New Roman" w:eastAsia="仿宋" w:cs="Times New Roman"/>
          <w:b/>
          <w:bCs/>
          <w:color w:val="auto"/>
          <w:sz w:val="28"/>
          <w:szCs w:val="28"/>
          <w:lang w:val="en-US" w:eastAsia="zh-CN"/>
        </w:rPr>
        <w:t xml:space="preserve"> </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符合下列条件之一的，即满足应急终止条件：</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（1）事件现场得到控制，事件条件已经消除；</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（2）污染源的泄露或释放已降至规定限值以内；</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（3）事件造成的危害已经被彻底消除，无再发可能；</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（4）事件现场的各种专业应急处置行动已无继续的必要；</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（5）采取必要的防护措施以保护公众免受再次危害，并使事件 可能引起的中长期影响趋于合理且处于尽量低的水平。</w:t>
      </w:r>
    </w:p>
    <w:p>
      <w:pPr>
        <w:pStyle w:val="6"/>
        <w:keepNext/>
        <w:keepLines/>
        <w:widowControl w:val="0"/>
        <w:wordWrap/>
        <w:adjustRightInd w:val="0"/>
        <w:snapToGrid w:val="0"/>
        <w:spacing w:beforeLines="50" w:beforeAutospacing="0" w:after="0" w:line="360" w:lineRule="auto"/>
        <w:ind w:left="0"/>
        <w:jc w:val="both"/>
        <w:textAlignment w:val="auto"/>
        <w:outlineLvl w:val="2"/>
        <w:rPr>
          <w:rFonts w:hint="eastAsia" w:ascii="Times New Roman" w:hAnsi="Times New Roman" w:eastAsia="仿宋" w:cs="Times New Roman"/>
          <w:b/>
          <w:bCs/>
          <w:color w:val="auto"/>
          <w:sz w:val="28"/>
          <w:szCs w:val="28"/>
          <w:lang w:val="en-US" w:eastAsia="zh-CN"/>
        </w:rPr>
      </w:pPr>
      <w:bookmarkStart w:id="337" w:name="8.5.2应急终止程序"/>
      <w:bookmarkEnd w:id="337"/>
      <w:bookmarkStart w:id="338" w:name="_Toc32431"/>
      <w:r>
        <w:rPr>
          <w:rFonts w:hint="eastAsia" w:ascii="Times New Roman" w:hAnsi="Times New Roman" w:cs="Times New Roman"/>
          <w:b/>
          <w:bCs/>
          <w:color w:val="auto"/>
          <w:sz w:val="28"/>
          <w:szCs w:val="28"/>
          <w:lang w:val="en-US" w:eastAsia="zh-CN"/>
        </w:rPr>
        <w:t>7</w:t>
      </w:r>
      <w:r>
        <w:rPr>
          <w:rFonts w:hint="eastAsia" w:ascii="Times New Roman" w:hAnsi="Times New Roman" w:eastAsia="仿宋" w:cs="Times New Roman"/>
          <w:b/>
          <w:bCs/>
          <w:color w:val="auto"/>
          <w:sz w:val="28"/>
          <w:szCs w:val="28"/>
          <w:lang w:val="en-US" w:eastAsia="zh-CN"/>
        </w:rPr>
        <w:t>.4.2 应急终止程序</w:t>
      </w:r>
      <w:bookmarkEnd w:id="338"/>
    </w:p>
    <w:p>
      <w:pPr>
        <w:widowControl w:val="0"/>
        <w:numPr>
          <w:ilvl w:val="0"/>
          <w:numId w:val="0"/>
        </w:numPr>
        <w:wordWrap/>
        <w:adjustRightInd w:val="0"/>
        <w:snapToGrid w:val="0"/>
        <w:spacing w:line="240" w:lineRule="auto"/>
        <w:ind w:firstLine="408" w:firstLineChars="200"/>
        <w:textAlignment w:val="auto"/>
        <w:rPr>
          <w:rFonts w:hint="default" w:ascii="Times New Roman" w:hAnsi="Times New Roman" w:eastAsia="仿宋" w:cs="Times New Roman"/>
          <w:color w:val="auto"/>
          <w:sz w:val="28"/>
          <w:szCs w:val="28"/>
          <w:lang w:val="zh-CN" w:eastAsia="zh-CN"/>
        </w:rPr>
      </w:pPr>
      <w:r>
        <w:rPr>
          <w:rFonts w:hint="default" w:ascii="Times New Roman" w:hAnsi="Times New Roman" w:cs="Times New Roman"/>
          <w:b w:val="0"/>
          <w:bCs w:val="0"/>
          <w:color w:val="auto"/>
          <w:spacing w:val="-3"/>
          <w:w w:val="100"/>
        </w:rPr>
        <w:t>（</w:t>
      </w:r>
      <w:r>
        <w:rPr>
          <w:rFonts w:hint="default" w:ascii="Times New Roman" w:hAnsi="Times New Roman" w:eastAsia="仿宋" w:cs="Times New Roman"/>
          <w:color w:val="auto"/>
          <w:sz w:val="28"/>
          <w:szCs w:val="28"/>
          <w:lang w:val="zh-CN" w:eastAsia="zh-CN"/>
        </w:rPr>
        <w:t>1）应急指挥部确认终止时机，或事件责任单位提出，经应急 指挥部批准；</w:t>
      </w:r>
    </w:p>
    <w:p>
      <w:pPr>
        <w:widowControl w:val="0"/>
        <w:numPr>
          <w:ilvl w:val="0"/>
          <w:numId w:val="0"/>
        </w:numPr>
        <w:wordWrap/>
        <w:adjustRightInd w:val="0"/>
        <w:snapToGrid w:val="0"/>
        <w:spacing w:line="240" w:lineRule="auto"/>
        <w:ind w:firstLine="560" w:firstLineChars="200"/>
        <w:textAlignment w:val="auto"/>
        <w:rPr>
          <w:rFonts w:hint="default" w:ascii="Times New Roman" w:hAnsi="Times New Roman" w:eastAsia="仿宋" w:cs="Times New Roman"/>
          <w:color w:val="auto"/>
          <w:sz w:val="28"/>
          <w:szCs w:val="28"/>
          <w:lang w:val="zh-CN" w:eastAsia="zh-CN"/>
        </w:rPr>
      </w:pPr>
      <w:r>
        <w:rPr>
          <w:rFonts w:hint="default" w:ascii="Times New Roman" w:hAnsi="Times New Roman" w:eastAsia="仿宋" w:cs="Times New Roman"/>
          <w:color w:val="auto"/>
          <w:sz w:val="28"/>
          <w:szCs w:val="28"/>
          <w:lang w:val="zh-CN" w:eastAsia="zh-CN"/>
        </w:rPr>
        <w:t>（2）应急指挥部利用广播、对讲系统向各有关成员部门下达应急终止命令；</w:t>
      </w:r>
    </w:p>
    <w:p>
      <w:pPr>
        <w:widowControl w:val="0"/>
        <w:numPr>
          <w:ilvl w:val="0"/>
          <w:numId w:val="0"/>
        </w:numPr>
        <w:wordWrap/>
        <w:adjustRightInd w:val="0"/>
        <w:snapToGrid w:val="0"/>
        <w:spacing w:line="240" w:lineRule="auto"/>
        <w:ind w:firstLine="560" w:firstLineChars="200"/>
        <w:textAlignment w:val="auto"/>
        <w:rPr>
          <w:rFonts w:hint="default" w:ascii="Times New Roman" w:hAnsi="Times New Roman" w:eastAsia="仿宋" w:cs="Times New Roman"/>
          <w:color w:val="auto"/>
          <w:sz w:val="28"/>
          <w:szCs w:val="28"/>
          <w:lang w:val="zh-CN" w:eastAsia="zh-CN"/>
        </w:rPr>
      </w:pPr>
      <w:r>
        <w:rPr>
          <w:rFonts w:hint="default" w:ascii="Times New Roman" w:hAnsi="Times New Roman" w:eastAsia="仿宋" w:cs="Times New Roman"/>
          <w:color w:val="auto"/>
          <w:sz w:val="28"/>
          <w:szCs w:val="28"/>
          <w:lang w:val="zh-CN" w:eastAsia="zh-CN"/>
        </w:rPr>
        <w:t>应急状态终止后，各成员部门应根据应急指挥部有关指示 和实际情况，继续进行环境监测和评价工作，直至其他补救措施无需继续进行为止；</w:t>
      </w:r>
    </w:p>
    <w:p>
      <w:pPr>
        <w:widowControl w:val="0"/>
        <w:numPr>
          <w:ilvl w:val="0"/>
          <w:numId w:val="0"/>
        </w:numPr>
        <w:wordWrap/>
        <w:adjustRightInd w:val="0"/>
        <w:snapToGrid w:val="0"/>
        <w:spacing w:line="240" w:lineRule="auto"/>
        <w:ind w:firstLine="560" w:firstLineChars="200"/>
        <w:textAlignment w:val="auto"/>
        <w:rPr>
          <w:rFonts w:hint="default" w:ascii="Times New Roman" w:hAnsi="Times New Roman" w:eastAsia="仿宋" w:cs="Times New Roman"/>
          <w:color w:val="auto"/>
          <w:sz w:val="28"/>
          <w:szCs w:val="28"/>
          <w:lang w:val="zh-CN" w:eastAsia="zh-CN"/>
        </w:rPr>
      </w:pPr>
      <w:r>
        <w:rPr>
          <w:rFonts w:hint="default" w:ascii="Times New Roman" w:hAnsi="Times New Roman" w:eastAsia="仿宋" w:cs="Times New Roman"/>
          <w:color w:val="auto"/>
          <w:sz w:val="28"/>
          <w:szCs w:val="28"/>
          <w:lang w:val="zh-CN" w:eastAsia="zh-CN"/>
        </w:rPr>
        <w:t>（</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val="zh-CN" w:eastAsia="zh-CN"/>
        </w:rPr>
        <w:t>）涉及到周边企业和村庄的疏散时，由总指挥通知周边企业 负责人员或者村委会解除警报。</w:t>
      </w:r>
    </w:p>
    <w:p>
      <w:pPr>
        <w:pStyle w:val="6"/>
        <w:keepNext/>
        <w:keepLines/>
        <w:widowControl w:val="0"/>
        <w:wordWrap/>
        <w:adjustRightInd w:val="0"/>
        <w:snapToGrid w:val="0"/>
        <w:spacing w:beforeLines="50" w:beforeAutospacing="0" w:after="0" w:line="360" w:lineRule="auto"/>
        <w:ind w:left="0"/>
        <w:jc w:val="both"/>
        <w:textAlignment w:val="auto"/>
        <w:outlineLvl w:val="2"/>
        <w:rPr>
          <w:rFonts w:hint="eastAsia" w:ascii="Times New Roman" w:hAnsi="Times New Roman" w:eastAsia="仿宋" w:cs="Times New Roman"/>
          <w:b/>
          <w:bCs/>
          <w:color w:val="auto"/>
          <w:sz w:val="28"/>
          <w:szCs w:val="28"/>
          <w:lang w:val="en-US" w:eastAsia="zh-CN"/>
        </w:rPr>
      </w:pPr>
      <w:bookmarkStart w:id="339" w:name="8.5.3应急终止后的行动"/>
      <w:bookmarkEnd w:id="339"/>
      <w:bookmarkStart w:id="340" w:name="_Toc7039"/>
      <w:r>
        <w:rPr>
          <w:rFonts w:hint="eastAsia" w:ascii="Times New Roman" w:hAnsi="Times New Roman" w:eastAsia="仿宋" w:cs="Times New Roman"/>
          <w:b/>
          <w:bCs/>
          <w:color w:val="auto"/>
          <w:sz w:val="28"/>
          <w:szCs w:val="28"/>
          <w:lang w:val="en-US" w:eastAsia="zh-CN"/>
        </w:rPr>
        <w:t>7.4.3 应急终止后的行动</w:t>
      </w:r>
      <w:bookmarkEnd w:id="340"/>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（1）通知公司各办公室，各科室及车间以及附近周边企业、村庄和社区危险事故已经得到解除。</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（2）对现场中暴露的设备进行清洁净化。</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（3）对于此次发生的环境事故的起因、过程和结果向有关部门 做详细报告。</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（4）全力配合事件调查小组，提供事故详细情况以及各监测数</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据等。</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（5）弄清事故发生的原因，调查事故造成的损失并明确各人承 担的责任。</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（6）评价整个环境应急过程。</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（7）对环境应急救援工作进行总结，并向厂领导汇报。</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（8）针对此次突发环境事件，总结经验教训，并对突发环境事 件应急预案进行修订。</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olor w:val="auto"/>
          <w:sz w:val="28"/>
          <w:szCs w:val="28"/>
        </w:rPr>
      </w:pPr>
      <w:r>
        <w:rPr>
          <w:rFonts w:hint="eastAsia" w:ascii="Times New Roman" w:hAnsi="Times New Roman" w:eastAsia="仿宋" w:cs="Times New Roman"/>
          <w:color w:val="auto"/>
          <w:sz w:val="28"/>
          <w:szCs w:val="28"/>
          <w:lang w:val="zh-CN" w:eastAsia="zh-CN"/>
        </w:rPr>
        <w:t>（9）由各负责人维护、保养应急仪器设备。</w:t>
      </w:r>
    </w:p>
    <w:p>
      <w:pPr>
        <w:widowControl w:val="0"/>
        <w:wordWrap/>
        <w:spacing w:beforeAutospacing="0" w:line="360" w:lineRule="auto"/>
        <w:ind w:left="0"/>
        <w:textAlignment w:val="auto"/>
        <w:outlineLvl w:val="0"/>
        <w:rPr>
          <w:rFonts w:hint="default" w:ascii="Times New Roman" w:hAnsi="Times New Roman" w:eastAsia="仿宋" w:cs="Times New Roman"/>
          <w:b/>
          <w:color w:val="auto"/>
          <w:kern w:val="0"/>
          <w:sz w:val="32"/>
          <w:szCs w:val="32"/>
          <w:lang w:val="en-US" w:eastAsia="zh-CN" w:bidi="ar-SA"/>
        </w:rPr>
      </w:pPr>
      <w:bookmarkStart w:id="341" w:name="9 后期处置"/>
      <w:bookmarkEnd w:id="341"/>
      <w:bookmarkStart w:id="342" w:name="_Toc13058"/>
      <w:r>
        <w:rPr>
          <w:rFonts w:hint="eastAsia" w:ascii="Times New Roman" w:hAnsi="Times New Roman" w:eastAsia="仿宋" w:cs="Times New Roman"/>
          <w:b/>
          <w:color w:val="auto"/>
          <w:kern w:val="0"/>
          <w:sz w:val="32"/>
          <w:szCs w:val="32"/>
          <w:lang w:val="en-US" w:eastAsia="zh-CN" w:bidi="ar-SA"/>
        </w:rPr>
        <w:t>8</w:t>
      </w:r>
      <w:r>
        <w:rPr>
          <w:rFonts w:hint="default" w:ascii="Times New Roman" w:hAnsi="Times New Roman" w:eastAsia="仿宋" w:cs="Times New Roman"/>
          <w:b/>
          <w:color w:val="auto"/>
          <w:kern w:val="0"/>
          <w:sz w:val="32"/>
          <w:szCs w:val="32"/>
          <w:lang w:val="en-US" w:eastAsia="zh-CN" w:bidi="ar-SA"/>
        </w:rPr>
        <w:t xml:space="preserve"> 后期处置</w:t>
      </w:r>
      <w:bookmarkEnd w:id="342"/>
    </w:p>
    <w:p>
      <w:pPr>
        <w:widowControl w:val="0"/>
        <w:wordWrap/>
        <w:spacing w:beforeAutospacing="0" w:line="360" w:lineRule="auto"/>
        <w:ind w:left="0"/>
        <w:textAlignment w:val="auto"/>
        <w:outlineLvl w:val="1"/>
        <w:rPr>
          <w:rFonts w:hint="default" w:ascii="Times New Roman" w:hAnsi="Times New Roman" w:eastAsia="仿宋" w:cs="Times New Roman"/>
          <w:b/>
          <w:bCs/>
          <w:color w:val="auto"/>
          <w:sz w:val="30"/>
          <w:szCs w:val="30"/>
        </w:rPr>
      </w:pPr>
      <w:bookmarkStart w:id="343" w:name="9.1善后处置"/>
      <w:bookmarkEnd w:id="343"/>
      <w:bookmarkStart w:id="344" w:name="_Toc22612"/>
      <w:r>
        <w:rPr>
          <w:rFonts w:hint="eastAsia" w:ascii="Times New Roman" w:hAnsi="Times New Roman" w:eastAsia="仿宋" w:cs="Times New Roman"/>
          <w:b/>
          <w:bCs/>
          <w:color w:val="auto"/>
          <w:sz w:val="30"/>
          <w:szCs w:val="30"/>
          <w:lang w:val="en-US" w:eastAsia="zh-CN"/>
        </w:rPr>
        <w:t>8.</w:t>
      </w:r>
      <w:r>
        <w:rPr>
          <w:rFonts w:hint="default" w:ascii="Times New Roman" w:hAnsi="Times New Roman" w:eastAsia="仿宋" w:cs="Times New Roman"/>
          <w:b/>
          <w:bCs/>
          <w:color w:val="auto"/>
          <w:sz w:val="30"/>
          <w:szCs w:val="30"/>
        </w:rPr>
        <w:t>1 善后处置</w:t>
      </w:r>
      <w:bookmarkEnd w:id="344"/>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（1）突发环境事件发生后，对受伤人员，企业应给予关心，安 定受伤者的情绪，对受伤人员进行补偿等工作。</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（2）对外部群众人员，要做好受污染区域内群众的思想工作， 安定群众情绪，并尽快开展善后处置工作，包括人员安置、补偿、宣传教育等工作。</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（3）对突发环境事件产生的污染物进行认真收集、清理。</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（4）对于此次事件，主管领导应组织有关部门分析事件原因， 汲取事件教训，指挥部要将事件情况进行登记、整理和存档。做好突 发环境事件记录和突发环境事件后的交接工作，制订切实可行的防范 措施，防止类似事件发生。</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 xml:space="preserve">（5）组织有关专家对受灾范围进行科学评估，做好疫病防治、环境污染清除、生态恢复等工作。 </w:t>
      </w:r>
      <w:bookmarkStart w:id="345" w:name="9.2保险"/>
      <w:bookmarkEnd w:id="345"/>
    </w:p>
    <w:p>
      <w:pPr>
        <w:widowControl w:val="0"/>
        <w:wordWrap/>
        <w:spacing w:beforeAutospacing="0" w:line="360" w:lineRule="auto"/>
        <w:ind w:left="0"/>
        <w:textAlignment w:val="auto"/>
        <w:outlineLvl w:val="1"/>
        <w:rPr>
          <w:rFonts w:hint="eastAsia" w:ascii="Times New Roman" w:hAnsi="Times New Roman" w:eastAsia="仿宋" w:cs="Times New Roman"/>
          <w:b/>
          <w:bCs/>
          <w:color w:val="auto"/>
          <w:sz w:val="30"/>
          <w:szCs w:val="30"/>
        </w:rPr>
      </w:pPr>
      <w:bookmarkStart w:id="346" w:name="_Toc17340"/>
      <w:r>
        <w:rPr>
          <w:rFonts w:hint="eastAsia" w:ascii="Times New Roman" w:hAnsi="Times New Roman" w:eastAsia="仿宋" w:cs="Times New Roman"/>
          <w:b/>
          <w:bCs/>
          <w:color w:val="auto"/>
          <w:sz w:val="30"/>
          <w:szCs w:val="30"/>
          <w:lang w:val="en-US" w:eastAsia="zh-CN"/>
        </w:rPr>
        <w:t>8</w:t>
      </w:r>
      <w:r>
        <w:rPr>
          <w:rFonts w:hint="eastAsia" w:ascii="Times New Roman" w:hAnsi="Times New Roman" w:eastAsia="仿宋" w:cs="Times New Roman"/>
          <w:b/>
          <w:bCs/>
          <w:color w:val="auto"/>
          <w:sz w:val="30"/>
          <w:szCs w:val="30"/>
        </w:rPr>
        <w:t>.2 保险</w:t>
      </w:r>
      <w:bookmarkEnd w:id="346"/>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江苏超力建材科技</w:t>
      </w:r>
      <w:r>
        <w:rPr>
          <w:rFonts w:hint="eastAsia" w:ascii="Times New Roman" w:hAnsi="Times New Roman" w:eastAsia="仿宋" w:cs="Times New Roman"/>
          <w:color w:val="auto"/>
          <w:sz w:val="28"/>
          <w:szCs w:val="28"/>
          <w:lang w:val="en-US" w:eastAsia="zh-CN"/>
        </w:rPr>
        <w:t>有</w:t>
      </w:r>
      <w:r>
        <w:rPr>
          <w:rFonts w:hint="eastAsia" w:ascii="Times New Roman" w:hAnsi="Times New Roman" w:eastAsia="仿宋" w:cs="Times New Roman"/>
          <w:color w:val="auto"/>
          <w:sz w:val="28"/>
          <w:szCs w:val="28"/>
          <w:lang w:val="zh-CN" w:eastAsia="zh-CN"/>
        </w:rPr>
        <w:t>限公司为员工办理保险为：养老保险、医疗保险、工伤保险、失业保险和生育保险。发生重大环境事故后，受灾员工应当视为工伤，享受工伤保险。应急救援人员应当办理意外伤害保险，以防在救援时受到意外伤害，确保救援人员的安全。</w:t>
      </w:r>
    </w:p>
    <w:p>
      <w:pPr>
        <w:widowControl w:val="0"/>
        <w:wordWrap/>
        <w:spacing w:beforeAutospacing="0" w:line="360" w:lineRule="auto"/>
        <w:ind w:left="0"/>
        <w:textAlignment w:val="auto"/>
        <w:outlineLvl w:val="0"/>
        <w:rPr>
          <w:rFonts w:hint="eastAsia" w:ascii="Times New Roman" w:hAnsi="Times New Roman" w:eastAsia="仿宋" w:cs="Times New Roman"/>
          <w:b/>
          <w:bCs/>
          <w:color w:val="auto"/>
          <w:sz w:val="32"/>
          <w:szCs w:val="32"/>
        </w:rPr>
      </w:pPr>
      <w:bookmarkStart w:id="347" w:name="_Toc21143"/>
      <w:r>
        <w:rPr>
          <w:rFonts w:hint="eastAsia" w:ascii="Times New Roman" w:hAnsi="Times New Roman" w:eastAsia="仿宋" w:cs="Times New Roman"/>
          <w:b/>
          <w:bCs/>
          <w:color w:val="auto"/>
          <w:sz w:val="32"/>
          <w:szCs w:val="32"/>
          <w:lang w:val="en-US" w:eastAsia="zh-CN"/>
        </w:rPr>
        <w:t>9</w:t>
      </w:r>
      <w:r>
        <w:rPr>
          <w:rFonts w:hint="eastAsia" w:ascii="Times New Roman" w:hAnsi="Times New Roman" w:eastAsia="仿宋" w:cs="Times New Roman"/>
          <w:b/>
          <w:bCs/>
          <w:color w:val="auto"/>
          <w:sz w:val="32"/>
          <w:szCs w:val="32"/>
        </w:rPr>
        <w:t xml:space="preserve"> 应急培训与演练</w:t>
      </w:r>
      <w:bookmarkEnd w:id="347"/>
    </w:p>
    <w:p>
      <w:pPr>
        <w:widowControl w:val="0"/>
        <w:wordWrap/>
        <w:spacing w:beforeAutospacing="0" w:line="360" w:lineRule="auto"/>
        <w:ind w:left="0"/>
        <w:textAlignment w:val="auto"/>
        <w:outlineLvl w:val="1"/>
        <w:rPr>
          <w:rFonts w:hint="default" w:ascii="Times New Roman" w:hAnsi="Times New Roman" w:eastAsia="仿宋" w:cs="Times New Roman"/>
          <w:b/>
          <w:bCs/>
          <w:color w:val="auto"/>
          <w:sz w:val="30"/>
          <w:szCs w:val="30"/>
          <w:lang w:val="en-US" w:eastAsia="zh-CN"/>
        </w:rPr>
      </w:pPr>
      <w:bookmarkStart w:id="348" w:name="_Toc18750"/>
      <w:r>
        <w:rPr>
          <w:rFonts w:hint="eastAsia" w:ascii="Times New Roman" w:hAnsi="Times New Roman" w:eastAsia="仿宋" w:cs="Times New Roman"/>
          <w:b/>
          <w:bCs/>
          <w:color w:val="auto"/>
          <w:sz w:val="30"/>
          <w:szCs w:val="30"/>
          <w:lang w:val="en-US" w:eastAsia="zh-CN"/>
        </w:rPr>
        <w:t>9.1培训</w:t>
      </w:r>
      <w:bookmarkEnd w:id="348"/>
    </w:p>
    <w:p>
      <w:pPr>
        <w:widowControl w:val="0"/>
        <w:wordWrap/>
        <w:snapToGrid w:val="0"/>
        <w:spacing w:beforeAutospacing="0" w:line="360" w:lineRule="auto"/>
        <w:ind w:left="0" w:firstLine="301" w:firstLineChars="100"/>
        <w:textAlignment w:val="auto"/>
        <w:outlineLvl w:val="2"/>
        <w:rPr>
          <w:rFonts w:hint="eastAsia" w:ascii="Times New Roman" w:hAnsi="Times New Roman" w:eastAsia="仿宋" w:cs="Times New Roman"/>
          <w:b/>
          <w:bCs/>
          <w:color w:val="auto"/>
          <w:kern w:val="0"/>
          <w:sz w:val="30"/>
          <w:szCs w:val="30"/>
          <w:lang w:val="en-US" w:eastAsia="zh-CN" w:bidi="ar-SA"/>
        </w:rPr>
      </w:pPr>
      <w:bookmarkStart w:id="349" w:name="10.1培训"/>
      <w:bookmarkEnd w:id="349"/>
      <w:bookmarkStart w:id="350" w:name="10.1.1应急救援小组成员应急响应的培训"/>
      <w:bookmarkEnd w:id="350"/>
      <w:bookmarkStart w:id="351" w:name="_Toc30802"/>
      <w:r>
        <w:rPr>
          <w:rFonts w:hint="eastAsia" w:ascii="Times New Roman" w:hAnsi="Times New Roman" w:eastAsia="仿宋" w:cs="Times New Roman"/>
          <w:b/>
          <w:bCs/>
          <w:color w:val="auto"/>
          <w:kern w:val="0"/>
          <w:sz w:val="30"/>
          <w:szCs w:val="30"/>
          <w:lang w:val="en-US" w:eastAsia="zh-CN" w:bidi="ar-SA"/>
        </w:rPr>
        <w:t>9.1.1 应急救援小组成员应急响应的培训</w:t>
      </w:r>
      <w:bookmarkEnd w:id="351"/>
      <w:r>
        <w:rPr>
          <w:rFonts w:hint="eastAsia" w:ascii="Times New Roman" w:hAnsi="Times New Roman" w:eastAsia="仿宋" w:cs="Times New Roman"/>
          <w:b/>
          <w:bCs/>
          <w:color w:val="auto"/>
          <w:kern w:val="0"/>
          <w:sz w:val="30"/>
          <w:szCs w:val="30"/>
          <w:lang w:val="en-US" w:eastAsia="zh-CN" w:bidi="ar-SA"/>
        </w:rPr>
        <w:t xml:space="preserve"> </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本预案制订实施后，所有应急指挥组成员，各专业救援组成员应</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认真学习本预案内容，明确在救援现场所担负的责任和义务。由应急</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指挥部通过综合讨论、专家讲座等方式对专业组成员每年组织不少于 一次应急培训。</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主要培训内容：</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（1）熟悉、掌握事件应急救援预案内容，明确自己的分工，业 务熟练，成为应急救援的骨干力量；</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（2）熟练使用各种防范装置和用具；</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（3）如何开展事故现场抢救、救援及事件的处理；</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（4）事故现场自我防范及监护的措施，人员疏散撤离方案、路径。</w:t>
      </w:r>
    </w:p>
    <w:p>
      <w:pPr>
        <w:widowControl w:val="0"/>
        <w:wordWrap/>
        <w:snapToGrid w:val="0"/>
        <w:spacing w:beforeAutospacing="0" w:line="360" w:lineRule="auto"/>
        <w:ind w:left="0" w:firstLine="301" w:firstLineChars="100"/>
        <w:textAlignment w:val="auto"/>
        <w:outlineLvl w:val="2"/>
        <w:rPr>
          <w:rFonts w:hint="eastAsia" w:ascii="Times New Roman" w:hAnsi="Times New Roman" w:eastAsia="仿宋" w:cs="Times New Roman"/>
          <w:b/>
          <w:bCs/>
          <w:color w:val="auto"/>
          <w:kern w:val="0"/>
          <w:sz w:val="30"/>
          <w:szCs w:val="30"/>
          <w:lang w:val="en-US" w:eastAsia="zh-CN" w:bidi="ar-SA"/>
        </w:rPr>
      </w:pPr>
      <w:bookmarkStart w:id="352" w:name="10.1.2企业人员应急知识培训"/>
      <w:bookmarkEnd w:id="352"/>
      <w:bookmarkStart w:id="353" w:name="_Toc31722"/>
      <w:r>
        <w:rPr>
          <w:rFonts w:hint="eastAsia" w:ascii="Times New Roman" w:hAnsi="Times New Roman" w:eastAsia="仿宋" w:cs="Times New Roman"/>
          <w:b/>
          <w:bCs/>
          <w:color w:val="auto"/>
          <w:kern w:val="0"/>
          <w:sz w:val="30"/>
          <w:szCs w:val="30"/>
          <w:lang w:val="en-US" w:eastAsia="zh-CN" w:bidi="ar-SA"/>
        </w:rPr>
        <w:t>9.1.2 企业人员应急知识培训</w:t>
      </w:r>
      <w:bookmarkEnd w:id="353"/>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（一）员工应掌握以下应急预案基本知识</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（1）熟悉启动各级应急救援预案的程序。</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（2）熟悉各部门应急救援的职责和分工，并能在事故发生时按 照预案有条不紊地组织应急救援。</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（3）能采用正确的方式进行抢险，掌握有效控制事故、避免事</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故失控和扩大化的方法。</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（4）能在事故救援期间有序地组织、协调应急物资的调运。</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（5）懂得申请外部救援力量的报警方法，以及发布事故消息， 组织周边相邻单位、相关部门的疏散方法等。</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（二）员工应急响应的培训</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（1）针对生产车间（或岗位）可能发生的事故，在紧急情况下 如何进行紧急停车、避险、报警的方法。</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（2）熟悉应急救援预案，了解如何进行详细报警。</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（3）针对生产车间(或岗位)可能导致人员伤害类别，现场进行 紧急救护方法。</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（4）针对生产车间（或岗位）可能发生的事故，学会如何采取有效措施防控事故和避免事故扩大化。</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（5）针对可能发生的事故应急救援必须使用的防护装备，学会使用方法。</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（6）针对可能发生的事故，学习消防器材和各类设备的使用方法。</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（7）掌握车间存在危险化学品特性、健康危害、危险性、急救方法。</w:t>
      </w:r>
    </w:p>
    <w:p>
      <w:pPr>
        <w:widowControl w:val="0"/>
        <w:wordWrap/>
        <w:adjustRightInd/>
        <w:snapToGrid w:val="0"/>
        <w:spacing w:beforeLines="50" w:beforeAutospacing="0" w:afterLines="50" w:line="240" w:lineRule="auto"/>
        <w:ind w:left="0" w:firstLine="301" w:firstLineChars="100"/>
        <w:textAlignment w:val="auto"/>
        <w:outlineLvl w:val="2"/>
        <w:rPr>
          <w:rFonts w:hint="eastAsia" w:ascii="Times New Roman" w:hAnsi="Times New Roman" w:eastAsia="仿宋" w:cs="Times New Roman"/>
          <w:b/>
          <w:bCs/>
          <w:color w:val="auto"/>
          <w:kern w:val="0"/>
          <w:sz w:val="30"/>
          <w:szCs w:val="30"/>
          <w:lang w:val="en-US" w:eastAsia="zh-CN" w:bidi="ar-SA"/>
        </w:rPr>
      </w:pPr>
      <w:bookmarkStart w:id="354" w:name="10.1.3周边企业应急宣传和告知"/>
      <w:bookmarkEnd w:id="354"/>
      <w:bookmarkStart w:id="355" w:name="_Toc8410"/>
      <w:r>
        <w:rPr>
          <w:rFonts w:hint="eastAsia" w:ascii="Times New Roman" w:hAnsi="Times New Roman" w:eastAsia="仿宋" w:cs="Times New Roman"/>
          <w:b/>
          <w:bCs/>
          <w:color w:val="auto"/>
          <w:kern w:val="0"/>
          <w:sz w:val="30"/>
          <w:szCs w:val="30"/>
          <w:lang w:val="en-US" w:eastAsia="zh-CN" w:bidi="ar-SA"/>
        </w:rPr>
        <w:t>9.1.3 周边企业应急宣传和告知</w:t>
      </w:r>
      <w:bookmarkEnd w:id="355"/>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针对企业可能发生的各类事故，应按照相关既定的应急处理预案要求，每年进行一次周边企业村庄居民应急响应宣传活动，宣传内容：</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（1）企业生产中存在的危险化学品的特性、健康危害及防护知识等。</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（2）企业可能发生的事故类型、事故可能导致的危害、污染等， 以及在紧急情况下，周边人员疏散和转移的具体方案。</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（3）紧急情况下人员疏散、转移的原则以及转移过程中的安全注意事项。</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（4）对因事故而导致的污染和伤害的一般处理方法。</w:t>
      </w:r>
    </w:p>
    <w:p>
      <w:pPr>
        <w:pStyle w:val="6"/>
        <w:keepNext/>
        <w:keepLines/>
        <w:widowControl w:val="0"/>
        <w:wordWrap/>
        <w:adjustRightInd w:val="0"/>
        <w:snapToGrid w:val="0"/>
        <w:spacing w:before="0" w:beforeAutospacing="0" w:after="0" w:line="360" w:lineRule="auto"/>
        <w:ind w:left="0"/>
        <w:jc w:val="both"/>
        <w:textAlignment w:val="auto"/>
        <w:outlineLvl w:val="2"/>
        <w:rPr>
          <w:rFonts w:hint="eastAsia" w:ascii="Times New Roman" w:hAnsi="Times New Roman" w:eastAsia="仿宋" w:cs="Times New Roman"/>
          <w:b/>
          <w:bCs/>
          <w:color w:val="auto"/>
          <w:sz w:val="30"/>
          <w:szCs w:val="30"/>
          <w:lang w:val="en-US" w:eastAsia="zh-CN"/>
        </w:rPr>
      </w:pPr>
      <w:bookmarkStart w:id="356" w:name="_Toc15444"/>
      <w:r>
        <w:rPr>
          <w:rFonts w:hint="eastAsia" w:ascii="Times New Roman" w:hAnsi="Times New Roman" w:eastAsia="仿宋" w:cs="Times New Roman"/>
          <w:b/>
          <w:bCs/>
          <w:color w:val="auto"/>
          <w:sz w:val="30"/>
          <w:szCs w:val="30"/>
          <w:lang w:val="en-US" w:eastAsia="zh-CN"/>
        </w:rPr>
        <w:t>9.1.4 培训记录</w:t>
      </w:r>
      <w:bookmarkEnd w:id="356"/>
      <w:r>
        <w:rPr>
          <w:rFonts w:hint="eastAsia" w:ascii="Times New Roman" w:hAnsi="Times New Roman" w:eastAsia="仿宋" w:cs="Times New Roman"/>
          <w:b/>
          <w:bCs/>
          <w:color w:val="auto"/>
          <w:sz w:val="30"/>
          <w:szCs w:val="30"/>
          <w:lang w:val="en-US" w:eastAsia="zh-CN"/>
        </w:rPr>
        <w:t xml:space="preserve"> </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江苏超力建材科技有限公司应对培训的计划、内容、方式、考核等予以记录归档。</w:t>
      </w:r>
    </w:p>
    <w:p>
      <w:pPr>
        <w:widowControl w:val="0"/>
        <w:wordWrap/>
        <w:adjustRightInd/>
        <w:snapToGrid/>
        <w:spacing w:beforeAutospacing="0" w:line="360" w:lineRule="auto"/>
        <w:ind w:left="0" w:firstLine="0" w:firstLineChars="0"/>
        <w:textAlignment w:val="auto"/>
        <w:outlineLvl w:val="1"/>
        <w:rPr>
          <w:rFonts w:hint="eastAsia" w:ascii="Times New Roman" w:hAnsi="Times New Roman" w:eastAsia="仿宋"/>
          <w:b/>
          <w:bCs/>
          <w:color w:val="auto"/>
          <w:sz w:val="30"/>
          <w:szCs w:val="30"/>
        </w:rPr>
      </w:pPr>
      <w:bookmarkStart w:id="357" w:name="10.2演练"/>
      <w:bookmarkEnd w:id="357"/>
      <w:bookmarkStart w:id="358" w:name="_Toc16059"/>
      <w:r>
        <w:rPr>
          <w:rFonts w:hint="eastAsia" w:ascii="Times New Roman" w:hAnsi="Times New Roman" w:eastAsia="仿宋"/>
          <w:b/>
          <w:bCs/>
          <w:color w:val="auto"/>
          <w:sz w:val="30"/>
          <w:szCs w:val="30"/>
          <w:lang w:val="en-US" w:eastAsia="zh-CN"/>
        </w:rPr>
        <w:t>9.2</w:t>
      </w:r>
      <w:r>
        <w:rPr>
          <w:rFonts w:hint="eastAsia" w:ascii="Times New Roman" w:hAnsi="Times New Roman" w:eastAsia="仿宋"/>
          <w:b/>
          <w:bCs/>
          <w:color w:val="auto"/>
          <w:sz w:val="30"/>
          <w:szCs w:val="30"/>
        </w:rPr>
        <w:t>演练</w:t>
      </w:r>
      <w:bookmarkEnd w:id="358"/>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企业建立健全应急预案演练制度，并纳入企业年度工作计划。指挥部领导小组从实际出发，针对危险目标可能发生的事故，每年至少组织一次模拟演习。把指挥机构和救援队伍训练成一支思想好、技术精、作风硬的指挥班子和抢救队伍。一旦发生事故，指挥机构能正确 指挥，各救援队伍能根据各自任务及时有效地排除险情、控制并消灭事故、抢救伤员，做好应急救援工作。</w:t>
      </w:r>
    </w:p>
    <w:p>
      <w:pPr>
        <w:pStyle w:val="6"/>
        <w:keepNext/>
        <w:keepLines/>
        <w:widowControl w:val="0"/>
        <w:wordWrap/>
        <w:adjustRightInd w:val="0"/>
        <w:snapToGrid w:val="0"/>
        <w:spacing w:beforeLines="50" w:beforeAutospacing="0" w:afterLines="50" w:line="240" w:lineRule="auto"/>
        <w:jc w:val="both"/>
        <w:textAlignment w:val="auto"/>
        <w:outlineLvl w:val="2"/>
        <w:rPr>
          <w:rFonts w:hint="eastAsia" w:ascii="Times New Roman" w:hAnsi="Times New Roman" w:eastAsia="仿宋" w:cs="Times New Roman"/>
          <w:b/>
          <w:bCs/>
          <w:color w:val="auto"/>
          <w:sz w:val="30"/>
          <w:szCs w:val="30"/>
          <w:lang w:val="en-US" w:eastAsia="zh-CN"/>
        </w:rPr>
      </w:pPr>
      <w:bookmarkStart w:id="359" w:name="10.2.1演练准备"/>
      <w:bookmarkEnd w:id="359"/>
      <w:bookmarkStart w:id="360" w:name="_Toc7672"/>
      <w:r>
        <w:rPr>
          <w:rFonts w:hint="eastAsia" w:ascii="Times New Roman" w:hAnsi="Times New Roman" w:eastAsia="仿宋" w:cs="Times New Roman"/>
          <w:b/>
          <w:bCs/>
          <w:color w:val="auto"/>
          <w:sz w:val="30"/>
          <w:szCs w:val="30"/>
          <w:lang w:val="en-US" w:eastAsia="zh-CN"/>
        </w:rPr>
        <w:t>9.2.1 演练准备</w:t>
      </w:r>
      <w:bookmarkEnd w:id="360"/>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（1）企业全体员工学习熟悉预案内容，掌握应急救援方法。</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（2）应急救援人员学习熟悉预案内容，掌握应急救援方法。</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（3）准备应急救援器材。</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（4）选定假想目标和发生事故的类型。</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 xml:space="preserve">（5）在演练的三日前向周边企业、人员公示告知。 </w:t>
      </w:r>
      <w:bookmarkStart w:id="361" w:name="10.2.2演练方式、范围与频次"/>
      <w:bookmarkEnd w:id="361"/>
    </w:p>
    <w:p>
      <w:pPr>
        <w:pStyle w:val="6"/>
        <w:keepNext/>
        <w:keepLines/>
        <w:widowControl w:val="0"/>
        <w:wordWrap/>
        <w:adjustRightInd w:val="0"/>
        <w:snapToGrid w:val="0"/>
        <w:spacing w:beforeLines="50" w:beforeAutospacing="0" w:afterLines="50" w:line="240" w:lineRule="auto"/>
        <w:ind w:left="0"/>
        <w:jc w:val="both"/>
        <w:textAlignment w:val="auto"/>
        <w:outlineLvl w:val="2"/>
        <w:rPr>
          <w:rFonts w:hint="eastAsia" w:ascii="Times New Roman" w:hAnsi="Times New Roman" w:eastAsia="仿宋" w:cs="Times New Roman"/>
          <w:b/>
          <w:bCs/>
          <w:color w:val="auto"/>
          <w:sz w:val="30"/>
          <w:szCs w:val="30"/>
          <w:lang w:val="en-US" w:eastAsia="zh-CN"/>
        </w:rPr>
      </w:pPr>
      <w:bookmarkStart w:id="362" w:name="_Toc24088"/>
      <w:r>
        <w:rPr>
          <w:rFonts w:hint="eastAsia" w:ascii="Times New Roman" w:hAnsi="Times New Roman" w:eastAsia="仿宋" w:cs="Times New Roman"/>
          <w:b/>
          <w:bCs/>
          <w:color w:val="auto"/>
          <w:sz w:val="30"/>
          <w:szCs w:val="30"/>
          <w:lang w:val="en-US" w:eastAsia="zh-CN"/>
        </w:rPr>
        <w:t>9.2.2 演练方式、范围与频次</w:t>
      </w:r>
      <w:bookmarkEnd w:id="362"/>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（一）演练内容</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（1）事件发生的应急处置；</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（2）消防器材的使用；</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（3）通信及报警讯号联络；</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（4）消毒及洗消处理；</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（5）急救及医疗；</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（6）防护指导：包括专业人员的个人防护及员工的自我防护；</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（7）标志设置警戒范围人员控制，厂内交通控制及管理；</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（8）事件区域内人员的疏散撤离及人员清查；</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（9）向上级报告情况；</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（10）事件的善后工作。</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（二）演练范围 企业应急预案的启动、应急救援、应急疏散、事故现场抢救、应急隔离现场保护、事故处理等。</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（三）演练频次 综合演练由指挥部负责人每年组织一次。</w:t>
      </w:r>
    </w:p>
    <w:p>
      <w:pPr>
        <w:pStyle w:val="6"/>
        <w:keepNext/>
        <w:keepLines/>
        <w:widowControl w:val="0"/>
        <w:wordWrap/>
        <w:adjustRightInd w:val="0"/>
        <w:snapToGrid w:val="0"/>
        <w:spacing w:beforeLines="50" w:beforeAutospacing="0" w:afterLines="50" w:line="240" w:lineRule="auto"/>
        <w:ind w:left="0"/>
        <w:jc w:val="both"/>
        <w:textAlignment w:val="auto"/>
        <w:outlineLvl w:val="2"/>
        <w:rPr>
          <w:rFonts w:hint="eastAsia" w:ascii="Times New Roman" w:hAnsi="Times New Roman" w:eastAsia="仿宋" w:cs="Times New Roman"/>
          <w:b/>
          <w:bCs/>
          <w:color w:val="auto"/>
          <w:sz w:val="30"/>
          <w:szCs w:val="30"/>
          <w:lang w:val="en-US" w:eastAsia="zh-CN"/>
        </w:rPr>
      </w:pPr>
      <w:bookmarkStart w:id="363" w:name="10.2.3演练组织"/>
      <w:bookmarkEnd w:id="363"/>
      <w:bookmarkStart w:id="364" w:name="_Toc4255"/>
      <w:r>
        <w:rPr>
          <w:rFonts w:hint="eastAsia" w:ascii="Times New Roman" w:hAnsi="Times New Roman" w:eastAsia="仿宋" w:cs="Times New Roman"/>
          <w:b/>
          <w:bCs/>
          <w:color w:val="auto"/>
          <w:sz w:val="30"/>
          <w:szCs w:val="30"/>
          <w:lang w:val="en-US" w:eastAsia="zh-CN"/>
        </w:rPr>
        <w:t>9.2.3 演练组织</w:t>
      </w:r>
      <w:bookmarkEnd w:id="364"/>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公司应急指挥部统一领导应急演练工作。 总指挥：王爱军</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副总指挥：王立军 成员：</w:t>
      </w:r>
      <w:r>
        <w:rPr>
          <w:rFonts w:hint="default" w:ascii="Times New Roman" w:hAnsi="Times New Roman" w:eastAsia="仿宋" w:cs="Times New Roman"/>
          <w:color w:val="auto"/>
          <w:sz w:val="28"/>
          <w:szCs w:val="28"/>
          <w:lang w:val="zh-CN" w:eastAsia="zh-CN"/>
        </w:rPr>
        <w:t>闫德仲</w:t>
      </w:r>
    </w:p>
    <w:p>
      <w:pPr>
        <w:pStyle w:val="6"/>
        <w:keepNext/>
        <w:keepLines/>
        <w:widowControl w:val="0"/>
        <w:wordWrap/>
        <w:adjustRightInd w:val="0"/>
        <w:snapToGrid w:val="0"/>
        <w:spacing w:beforeLines="50" w:beforeAutospacing="0" w:afterLines="50" w:line="240" w:lineRule="auto"/>
        <w:ind w:left="0"/>
        <w:jc w:val="both"/>
        <w:textAlignment w:val="auto"/>
        <w:outlineLvl w:val="2"/>
        <w:rPr>
          <w:rFonts w:hint="eastAsia" w:ascii="Times New Roman" w:hAnsi="Times New Roman" w:eastAsia="仿宋" w:cs="Times New Roman"/>
          <w:b/>
          <w:bCs/>
          <w:color w:val="auto"/>
          <w:sz w:val="30"/>
          <w:szCs w:val="30"/>
          <w:lang w:val="en-US" w:eastAsia="zh-CN"/>
        </w:rPr>
      </w:pPr>
      <w:bookmarkStart w:id="365" w:name="10.2.4演练评估与总结"/>
      <w:bookmarkEnd w:id="365"/>
      <w:bookmarkStart w:id="366" w:name="_Toc15108"/>
      <w:r>
        <w:rPr>
          <w:rFonts w:hint="eastAsia" w:ascii="Times New Roman" w:hAnsi="Times New Roman" w:eastAsia="仿宋" w:cs="Times New Roman"/>
          <w:b/>
          <w:bCs/>
          <w:color w:val="auto"/>
          <w:sz w:val="30"/>
          <w:szCs w:val="30"/>
          <w:lang w:val="en-US" w:eastAsia="zh-CN"/>
        </w:rPr>
        <w:t>9.2.4 演练评估与总结</w:t>
      </w:r>
      <w:bookmarkEnd w:id="366"/>
      <w:r>
        <w:rPr>
          <w:rFonts w:hint="eastAsia" w:ascii="Times New Roman" w:hAnsi="Times New Roman" w:eastAsia="仿宋" w:cs="Times New Roman"/>
          <w:b/>
          <w:bCs/>
          <w:color w:val="auto"/>
          <w:sz w:val="30"/>
          <w:szCs w:val="30"/>
          <w:lang w:val="en-US" w:eastAsia="zh-CN"/>
        </w:rPr>
        <w:t xml:space="preserve"> </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应急预案演练结束后，各车间部门应组织有关专家及应急管理人员对演练效果进行评估，撰写评估报告，分析存在问题，对应急预案提出修订意见。</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（1）发现的主要问题；</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（2）对演练准备情况的评估；</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（3）对预案有关程序、内容的建议和改进意见；</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（4）对在训练、防护器具、抢救设置等方面的意见；</w:t>
      </w:r>
    </w:p>
    <w:p>
      <w:pPr>
        <w:widowControl w:val="0"/>
        <w:numPr>
          <w:ilvl w:val="0"/>
          <w:numId w:val="0"/>
        </w:numPr>
        <w:wordWrap/>
        <w:adjustRightInd w:val="0"/>
        <w:snapToGrid w:val="0"/>
        <w:spacing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（5）对演练指挥部的意见等。</w:t>
      </w:r>
    </w:p>
    <w:p>
      <w:pPr>
        <w:widowControl w:val="0"/>
        <w:wordWrap/>
        <w:spacing w:beforeAutospacing="0" w:line="360" w:lineRule="auto"/>
        <w:ind w:left="0"/>
        <w:textAlignment w:val="auto"/>
        <w:outlineLvl w:val="0"/>
        <w:rPr>
          <w:rFonts w:hint="eastAsia" w:ascii="Times New Roman" w:hAnsi="Times New Roman" w:eastAsia="仿宋" w:cs="Times New Roman"/>
          <w:b/>
          <w:bCs/>
          <w:color w:val="auto"/>
          <w:sz w:val="32"/>
          <w:szCs w:val="32"/>
          <w:lang w:val="en-US" w:eastAsia="zh-CN"/>
        </w:rPr>
      </w:pPr>
      <w:bookmarkStart w:id="367" w:name="11 奖惩"/>
      <w:bookmarkEnd w:id="367"/>
      <w:bookmarkStart w:id="368" w:name="_Toc26068"/>
      <w:r>
        <w:rPr>
          <w:rFonts w:hint="eastAsia" w:ascii="Times New Roman" w:hAnsi="Times New Roman" w:eastAsia="仿宋" w:cs="Times New Roman"/>
          <w:b/>
          <w:bCs/>
          <w:color w:val="auto"/>
          <w:sz w:val="32"/>
          <w:szCs w:val="32"/>
          <w:lang w:val="en-US" w:eastAsia="zh-CN"/>
        </w:rPr>
        <w:t>10奖惩</w:t>
      </w:r>
      <w:bookmarkEnd w:id="368"/>
    </w:p>
    <w:p>
      <w:pPr>
        <w:widowControl w:val="0"/>
        <w:wordWrap/>
        <w:adjustRightInd/>
        <w:snapToGrid/>
        <w:spacing w:beforeAutospacing="0" w:line="360" w:lineRule="auto"/>
        <w:ind w:left="0" w:firstLine="0" w:firstLineChars="0"/>
        <w:textAlignment w:val="auto"/>
        <w:outlineLvl w:val="1"/>
        <w:rPr>
          <w:rFonts w:hint="eastAsia" w:ascii="Times New Roman" w:hAnsi="Times New Roman" w:eastAsia="仿宋"/>
          <w:b/>
          <w:bCs/>
          <w:color w:val="auto"/>
          <w:sz w:val="30"/>
          <w:szCs w:val="30"/>
          <w:lang w:val="en-US" w:eastAsia="zh-CN"/>
        </w:rPr>
      </w:pPr>
      <w:bookmarkStart w:id="369" w:name="11.1奖励"/>
      <w:bookmarkEnd w:id="369"/>
      <w:bookmarkStart w:id="370" w:name="_Toc22426"/>
      <w:r>
        <w:rPr>
          <w:rFonts w:hint="eastAsia" w:ascii="Times New Roman" w:hAnsi="Times New Roman" w:eastAsia="仿宋"/>
          <w:b/>
          <w:bCs/>
          <w:color w:val="auto"/>
          <w:sz w:val="30"/>
          <w:szCs w:val="30"/>
          <w:lang w:val="en-US" w:eastAsia="zh-CN"/>
        </w:rPr>
        <w:t>10.1奖励</w:t>
      </w:r>
      <w:bookmarkEnd w:id="370"/>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奖励分为三种：通告表扬、记功奖励和晋升提级。在突发环境事 件应急处置工作中有下列事迹之一的单位和个人，依据有关规定给予 表彰：</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（1）出色完成突发环境事件应急处置任务，成果显著的；</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（2）对防止突发环境事件发生，使国家、集体和人民群众的生 命财产免受损失，成绩显著的；</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（3）对事件应急准备与响应提出重大建议，实施效果显著的；</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（4）有其他特殊贡献的。 奖励审批步骤：员工推荐、本人自荐或部门提名；人事部和行政部审核；总经理审批。</w:t>
      </w:r>
    </w:p>
    <w:p>
      <w:pPr>
        <w:widowControl w:val="0"/>
        <w:wordWrap/>
        <w:adjustRightInd/>
        <w:snapToGrid/>
        <w:spacing w:beforeAutospacing="0" w:line="360" w:lineRule="auto"/>
        <w:ind w:left="0" w:firstLine="0" w:firstLineChars="0"/>
        <w:textAlignment w:val="auto"/>
        <w:outlineLvl w:val="1"/>
        <w:rPr>
          <w:rFonts w:hint="eastAsia" w:ascii="Times New Roman" w:hAnsi="Times New Roman" w:eastAsia="仿宋"/>
          <w:b/>
          <w:bCs/>
          <w:color w:val="auto"/>
          <w:sz w:val="30"/>
          <w:szCs w:val="30"/>
          <w:lang w:val="en-US" w:eastAsia="zh-CN"/>
        </w:rPr>
      </w:pPr>
      <w:bookmarkStart w:id="371" w:name="11.2惩罚"/>
      <w:bookmarkEnd w:id="371"/>
      <w:bookmarkStart w:id="372" w:name="_Toc6935"/>
      <w:r>
        <w:rPr>
          <w:rFonts w:hint="eastAsia" w:ascii="Times New Roman" w:hAnsi="Times New Roman" w:eastAsia="仿宋"/>
          <w:b/>
          <w:bCs/>
          <w:color w:val="auto"/>
          <w:sz w:val="30"/>
          <w:szCs w:val="30"/>
          <w:lang w:val="en-US" w:eastAsia="zh-CN"/>
        </w:rPr>
        <w:t>10.2惩罚</w:t>
      </w:r>
      <w:bookmarkEnd w:id="372"/>
      <w:r>
        <w:rPr>
          <w:rFonts w:hint="eastAsia" w:ascii="Times New Roman" w:hAnsi="Times New Roman" w:eastAsia="仿宋"/>
          <w:b/>
          <w:bCs/>
          <w:color w:val="auto"/>
          <w:sz w:val="30"/>
          <w:szCs w:val="30"/>
          <w:lang w:val="en-US" w:eastAsia="zh-CN"/>
        </w:rPr>
        <w:t xml:space="preserve"> </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惩罚根据情节的严重程度分为：口头警告、书面警告、通报批评</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和辞退等。在追查突发环境事故产生原因时，根据各情况，责任到人， 由厂领导经讨论后决定给予相关人员不同力度的惩罚。</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（1）不认真履行环保法律法规而引发环境事件的；</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（2）不按照规定制定突发环境事件应急预案，拒绝承担突发环 境事件应急准备义务的；</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（3）不按规定报告、通报突发环境事件真实情况的；</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（4）拒不执行突发环境事件应急预案，不服从命令和指挥或者 在事件应急响应临阵脱逃的；</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（5）盗窃、贪污和挪用环境事件应急工作资金、装备和物资的；</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（6）阻碍环境事件应急工作人员依法履行职责或者进行破坏活 动的；</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（7）散布谣言，扰乱社会秩序的；</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（8）有其他对环境事件应急工作造成危害的行动。</w:t>
      </w:r>
    </w:p>
    <w:p>
      <w:pPr>
        <w:pStyle w:val="10"/>
        <w:widowControl w:val="0"/>
        <w:wordWrap/>
        <w:spacing w:before="0" w:beforeAutospacing="0" w:line="360" w:lineRule="auto"/>
        <w:ind w:left="0" w:right="0"/>
        <w:jc w:val="left"/>
        <w:textAlignment w:val="auto"/>
        <w:outlineLvl w:val="0"/>
        <w:rPr>
          <w:rFonts w:hint="default" w:ascii="Times New Roman" w:hAnsi="Times New Roman" w:cs="Times New Roman"/>
          <w:b/>
          <w:bCs/>
          <w:color w:val="auto"/>
          <w:sz w:val="32"/>
          <w:szCs w:val="32"/>
        </w:rPr>
      </w:pPr>
      <w:bookmarkStart w:id="373" w:name="_Toc30688"/>
      <w:r>
        <w:rPr>
          <w:rFonts w:hint="eastAsia" w:ascii="Times New Roman" w:hAnsi="Times New Roman" w:cs="Times New Roman"/>
          <w:b/>
          <w:bCs/>
          <w:color w:val="auto"/>
          <w:spacing w:val="1"/>
          <w:w w:val="100"/>
          <w:sz w:val="32"/>
          <w:szCs w:val="32"/>
          <w:lang w:val="en-US" w:eastAsia="zh-CN"/>
        </w:rPr>
        <w:t>11</w:t>
      </w:r>
      <w:r>
        <w:rPr>
          <w:rFonts w:hint="default" w:ascii="Times New Roman" w:hAnsi="Times New Roman" w:cs="Times New Roman"/>
          <w:b/>
          <w:bCs/>
          <w:color w:val="auto"/>
          <w:spacing w:val="-1"/>
          <w:w w:val="100"/>
          <w:sz w:val="32"/>
          <w:szCs w:val="32"/>
        </w:rPr>
        <w:t>保障措</w:t>
      </w:r>
      <w:r>
        <w:rPr>
          <w:rFonts w:hint="default" w:ascii="Times New Roman" w:hAnsi="Times New Roman" w:cs="Times New Roman"/>
          <w:b/>
          <w:bCs/>
          <w:color w:val="auto"/>
          <w:spacing w:val="0"/>
          <w:w w:val="100"/>
          <w:sz w:val="32"/>
          <w:szCs w:val="32"/>
        </w:rPr>
        <w:t>施</w:t>
      </w:r>
      <w:bookmarkEnd w:id="373"/>
    </w:p>
    <w:p>
      <w:pPr>
        <w:pStyle w:val="5"/>
        <w:keepNext/>
        <w:keepLines/>
        <w:widowControl w:val="0"/>
        <w:wordWrap/>
        <w:adjustRightInd w:val="0"/>
        <w:snapToGrid w:val="0"/>
        <w:spacing w:before="0" w:beforeAutospacing="0" w:line="360" w:lineRule="auto"/>
        <w:ind w:left="0"/>
        <w:jc w:val="both"/>
        <w:textAlignment w:val="auto"/>
        <w:rPr>
          <w:rFonts w:hint="default" w:ascii="Times New Roman" w:hAnsi="Times New Roman" w:eastAsia="仿宋" w:cs="Times New Roman"/>
          <w:b/>
          <w:bCs/>
          <w:color w:val="auto"/>
          <w:sz w:val="30"/>
          <w:szCs w:val="30"/>
          <w:lang w:val="en-US" w:eastAsia="zh-CN"/>
        </w:rPr>
      </w:pPr>
      <w:bookmarkStart w:id="374" w:name="12.1经费保障"/>
      <w:bookmarkEnd w:id="374"/>
      <w:bookmarkStart w:id="375" w:name="_Toc22203"/>
      <w:r>
        <w:rPr>
          <w:rFonts w:hint="eastAsia" w:ascii="Times New Roman" w:hAnsi="Times New Roman" w:eastAsia="仿宋" w:cs="Times New Roman"/>
          <w:b/>
          <w:bCs/>
          <w:color w:val="auto"/>
          <w:sz w:val="30"/>
          <w:szCs w:val="30"/>
          <w:lang w:val="en-US" w:eastAsia="zh-CN"/>
        </w:rPr>
        <w:t>1</w:t>
      </w:r>
      <w:r>
        <w:rPr>
          <w:rFonts w:hint="eastAsia" w:ascii="Times New Roman" w:hAnsi="Times New Roman" w:cs="Times New Roman"/>
          <w:b/>
          <w:bCs/>
          <w:color w:val="auto"/>
          <w:sz w:val="30"/>
          <w:szCs w:val="30"/>
          <w:lang w:val="en-US" w:eastAsia="zh-CN"/>
        </w:rPr>
        <w:t>1</w:t>
      </w:r>
      <w:r>
        <w:rPr>
          <w:rFonts w:hint="eastAsia" w:ascii="Times New Roman" w:hAnsi="Times New Roman" w:eastAsia="仿宋" w:cs="Times New Roman"/>
          <w:b/>
          <w:bCs/>
          <w:color w:val="auto"/>
          <w:sz w:val="30"/>
          <w:szCs w:val="30"/>
          <w:lang w:val="en-US" w:eastAsia="zh-CN"/>
        </w:rPr>
        <w:t>.</w:t>
      </w:r>
      <w:r>
        <w:rPr>
          <w:rFonts w:hint="default" w:ascii="Times New Roman" w:hAnsi="Times New Roman" w:eastAsia="仿宋" w:cs="Times New Roman"/>
          <w:b/>
          <w:bCs/>
          <w:color w:val="auto"/>
          <w:sz w:val="30"/>
          <w:szCs w:val="30"/>
          <w:lang w:val="en-US" w:eastAsia="zh-CN"/>
        </w:rPr>
        <w:t>1 经费保障</w:t>
      </w:r>
      <w:bookmarkEnd w:id="375"/>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en-US" w:eastAsia="zh-CN"/>
        </w:rPr>
        <w:t>江苏超力建材科技有限公司</w:t>
      </w:r>
      <w:r>
        <w:rPr>
          <w:rFonts w:hint="eastAsia" w:ascii="Times New Roman" w:hAnsi="Times New Roman" w:eastAsia="仿宋" w:cs="Times New Roman"/>
          <w:color w:val="auto"/>
          <w:sz w:val="28"/>
          <w:szCs w:val="28"/>
          <w:lang w:val="zh-CN" w:eastAsia="zh-CN"/>
        </w:rPr>
        <w:t>设有应急经费，包括培训、演练、应急物资维修、 更新费用等，资金由应急指挥中心统一安排，以确保不同事故状态下经费的及时到位。厂应急专项经费来源、使用范围、数量及监督管理措施见表 1</w:t>
      </w:r>
      <w:r>
        <w:rPr>
          <w:rFonts w:hint="eastAsia" w:ascii="Times New Roman" w:hAnsi="Times New Roman" w:eastAsia="仿宋" w:cs="Times New Roman"/>
          <w:color w:val="auto"/>
          <w:sz w:val="28"/>
          <w:szCs w:val="28"/>
          <w:lang w:val="en-US" w:eastAsia="zh-CN"/>
        </w:rPr>
        <w:t>1</w:t>
      </w:r>
      <w:r>
        <w:rPr>
          <w:rFonts w:hint="eastAsia" w:ascii="Times New Roman" w:hAnsi="Times New Roman" w:eastAsia="仿宋" w:cs="Times New Roman"/>
          <w:color w:val="auto"/>
          <w:sz w:val="28"/>
          <w:szCs w:val="28"/>
          <w:lang w:val="zh-CN" w:eastAsia="zh-CN"/>
        </w:rPr>
        <w:t>.1-1。</w:t>
      </w:r>
    </w:p>
    <w:p>
      <w:pPr>
        <w:pStyle w:val="10"/>
        <w:spacing w:line="332" w:lineRule="exact"/>
        <w:ind w:left="752" w:right="0"/>
        <w:jc w:val="left"/>
        <w:rPr>
          <w:rFonts w:hint="default" w:ascii="Times New Roman" w:hAnsi="Times New Roman" w:cs="Times New Roman"/>
          <w:color w:val="auto"/>
        </w:rPr>
      </w:pPr>
      <w:r>
        <w:rPr>
          <w:rFonts w:hint="default" w:ascii="Times New Roman" w:hAnsi="Times New Roman" w:cs="Times New Roman"/>
          <w:b w:val="0"/>
          <w:bCs w:val="0"/>
          <w:color w:val="auto"/>
          <w:spacing w:val="0"/>
          <w:w w:val="100"/>
        </w:rPr>
        <w:t>表</w:t>
      </w:r>
      <w:r>
        <w:rPr>
          <w:rFonts w:hint="default" w:ascii="Times New Roman" w:hAnsi="Times New Roman" w:cs="Times New Roman"/>
          <w:b w:val="0"/>
          <w:bCs w:val="0"/>
          <w:color w:val="auto"/>
          <w:spacing w:val="-69"/>
          <w:w w:val="100"/>
        </w:rPr>
        <w:t xml:space="preserve"> </w:t>
      </w:r>
      <w:r>
        <w:rPr>
          <w:rFonts w:hint="default" w:ascii="Times New Roman" w:hAnsi="Times New Roman" w:cs="Times New Roman"/>
          <w:b w:val="0"/>
          <w:bCs w:val="0"/>
          <w:color w:val="auto"/>
          <w:spacing w:val="1"/>
          <w:w w:val="100"/>
        </w:rPr>
        <w:t>1</w:t>
      </w:r>
      <w:r>
        <w:rPr>
          <w:rFonts w:hint="eastAsia" w:ascii="Times New Roman" w:hAnsi="Times New Roman" w:cs="Times New Roman"/>
          <w:b w:val="0"/>
          <w:bCs w:val="0"/>
          <w:color w:val="auto"/>
          <w:spacing w:val="1"/>
          <w:w w:val="100"/>
          <w:lang w:val="en-US" w:eastAsia="zh-CN"/>
        </w:rPr>
        <w:t>1</w:t>
      </w:r>
      <w:r>
        <w:rPr>
          <w:rFonts w:hint="default" w:ascii="Times New Roman" w:hAnsi="Times New Roman" w:cs="Times New Roman"/>
          <w:b w:val="0"/>
          <w:bCs w:val="0"/>
          <w:color w:val="auto"/>
          <w:spacing w:val="1"/>
          <w:w w:val="100"/>
        </w:rPr>
        <w:t>.1-</w:t>
      </w:r>
      <w:r>
        <w:rPr>
          <w:rFonts w:hint="default" w:ascii="Times New Roman" w:hAnsi="Times New Roman" w:cs="Times New Roman"/>
          <w:b w:val="0"/>
          <w:bCs w:val="0"/>
          <w:color w:val="auto"/>
          <w:spacing w:val="0"/>
          <w:w w:val="100"/>
        </w:rPr>
        <w:t>1</w:t>
      </w:r>
      <w:r>
        <w:rPr>
          <w:rFonts w:hint="default" w:ascii="Times New Roman" w:hAnsi="Times New Roman" w:cs="Times New Roman"/>
          <w:b w:val="0"/>
          <w:bCs w:val="0"/>
          <w:color w:val="auto"/>
          <w:spacing w:val="-3"/>
          <w:w w:val="100"/>
        </w:rPr>
        <w:t xml:space="preserve"> </w:t>
      </w:r>
      <w:r>
        <w:rPr>
          <w:rFonts w:hint="eastAsia" w:ascii="Times New Roman" w:hAnsi="Times New Roman" w:eastAsia="仿宋"/>
          <w:color w:val="auto"/>
          <w:sz w:val="28"/>
          <w:szCs w:val="28"/>
          <w:lang w:val="en-US" w:eastAsia="zh-CN"/>
        </w:rPr>
        <w:t>江苏超力建材科技有限公司</w:t>
      </w:r>
      <w:r>
        <w:rPr>
          <w:rFonts w:hint="default" w:ascii="Times New Roman" w:hAnsi="Times New Roman" w:cs="Times New Roman"/>
          <w:b w:val="0"/>
          <w:bCs w:val="0"/>
          <w:color w:val="auto"/>
          <w:spacing w:val="-1"/>
          <w:w w:val="100"/>
        </w:rPr>
        <w:t>应急</w:t>
      </w:r>
      <w:r>
        <w:rPr>
          <w:rFonts w:hint="default" w:ascii="Times New Roman" w:hAnsi="Times New Roman" w:cs="Times New Roman"/>
          <w:b w:val="0"/>
          <w:bCs w:val="0"/>
          <w:color w:val="auto"/>
          <w:spacing w:val="2"/>
          <w:w w:val="100"/>
        </w:rPr>
        <w:t>保</w:t>
      </w:r>
      <w:r>
        <w:rPr>
          <w:rFonts w:hint="default" w:ascii="Times New Roman" w:hAnsi="Times New Roman" w:cs="Times New Roman"/>
          <w:b w:val="0"/>
          <w:bCs w:val="0"/>
          <w:color w:val="auto"/>
          <w:spacing w:val="-1"/>
          <w:w w:val="100"/>
        </w:rPr>
        <w:t>障专项经费一览</w:t>
      </w:r>
      <w:r>
        <w:rPr>
          <w:rFonts w:hint="default" w:ascii="Times New Roman" w:hAnsi="Times New Roman" w:cs="Times New Roman"/>
          <w:b w:val="0"/>
          <w:bCs w:val="0"/>
          <w:color w:val="auto"/>
          <w:spacing w:val="0"/>
          <w:w w:val="100"/>
        </w:rPr>
        <w:t>表</w:t>
      </w:r>
    </w:p>
    <w:tbl>
      <w:tblPr>
        <w:tblStyle w:val="21"/>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1704"/>
        <w:gridCol w:w="1704"/>
        <w:gridCol w:w="1705"/>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tcMar>
              <w:top w:w="0" w:type="dxa"/>
              <w:left w:w="108" w:type="dxa"/>
              <w:bottom w:w="0" w:type="dxa"/>
              <w:right w:w="108" w:type="dxa"/>
            </w:tcMar>
            <w:vAlign w:val="center"/>
          </w:tcPr>
          <w:p>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1704" w:type="dxa"/>
            <w:tcMar>
              <w:top w:w="0" w:type="dxa"/>
              <w:left w:w="108" w:type="dxa"/>
              <w:bottom w:w="0" w:type="dxa"/>
              <w:right w:w="108" w:type="dxa"/>
            </w:tcMar>
            <w:vAlign w:val="center"/>
          </w:tcPr>
          <w:p>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经费范围</w:t>
            </w:r>
          </w:p>
        </w:tc>
        <w:tc>
          <w:tcPr>
            <w:tcW w:w="1704" w:type="dxa"/>
            <w:tcMar>
              <w:top w:w="0" w:type="dxa"/>
              <w:left w:w="108" w:type="dxa"/>
              <w:bottom w:w="0" w:type="dxa"/>
              <w:right w:w="108" w:type="dxa"/>
            </w:tcMar>
            <w:vAlign w:val="center"/>
          </w:tcPr>
          <w:p>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来源</w:t>
            </w:r>
          </w:p>
        </w:tc>
        <w:tc>
          <w:tcPr>
            <w:tcW w:w="1705" w:type="dxa"/>
            <w:tcMar>
              <w:top w:w="0" w:type="dxa"/>
              <w:left w:w="108" w:type="dxa"/>
              <w:bottom w:w="0" w:type="dxa"/>
              <w:right w:w="108" w:type="dxa"/>
            </w:tcMar>
            <w:vAlign w:val="center"/>
          </w:tcPr>
          <w:p>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数量（万元）</w:t>
            </w:r>
          </w:p>
        </w:tc>
        <w:tc>
          <w:tcPr>
            <w:tcW w:w="2214" w:type="dxa"/>
            <w:tcMar>
              <w:top w:w="0" w:type="dxa"/>
              <w:left w:w="108" w:type="dxa"/>
              <w:bottom w:w="0" w:type="dxa"/>
              <w:right w:w="108" w:type="dxa"/>
            </w:tcMar>
            <w:vAlign w:val="center"/>
          </w:tcPr>
          <w:p>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监管措施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704" w:type="dxa"/>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培训经费</w:t>
            </w:r>
          </w:p>
        </w:tc>
        <w:tc>
          <w:tcPr>
            <w:tcW w:w="1704" w:type="dxa"/>
            <w:vMerge w:val="restart"/>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专款专用</w:t>
            </w:r>
          </w:p>
        </w:tc>
        <w:tc>
          <w:tcPr>
            <w:tcW w:w="1705" w:type="dxa"/>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w:t>
            </w:r>
          </w:p>
        </w:tc>
        <w:tc>
          <w:tcPr>
            <w:tcW w:w="2214" w:type="dxa"/>
            <w:vMerge w:val="restart"/>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由公司应急救援指挥部负责监管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704" w:type="dxa"/>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演练经费</w:t>
            </w:r>
          </w:p>
        </w:tc>
        <w:tc>
          <w:tcPr>
            <w:tcW w:w="1704" w:type="dxa"/>
            <w:vMerge w:val="continue"/>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p>
        </w:tc>
        <w:tc>
          <w:tcPr>
            <w:tcW w:w="1705" w:type="dxa"/>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w:t>
            </w:r>
          </w:p>
        </w:tc>
        <w:tc>
          <w:tcPr>
            <w:tcW w:w="2214" w:type="dxa"/>
            <w:vMerge w:val="continue"/>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704" w:type="dxa"/>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救援经费</w:t>
            </w:r>
          </w:p>
        </w:tc>
        <w:tc>
          <w:tcPr>
            <w:tcW w:w="1704" w:type="dxa"/>
            <w:vMerge w:val="continue"/>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p>
        </w:tc>
        <w:tc>
          <w:tcPr>
            <w:tcW w:w="1705" w:type="dxa"/>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4.0</w:t>
            </w:r>
          </w:p>
        </w:tc>
        <w:tc>
          <w:tcPr>
            <w:tcW w:w="2214" w:type="dxa"/>
            <w:vMerge w:val="continue"/>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704" w:type="dxa"/>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应急物资</w:t>
            </w:r>
          </w:p>
        </w:tc>
        <w:tc>
          <w:tcPr>
            <w:tcW w:w="1704" w:type="dxa"/>
            <w:vMerge w:val="continue"/>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p>
        </w:tc>
        <w:tc>
          <w:tcPr>
            <w:tcW w:w="1705" w:type="dxa"/>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4</w:t>
            </w:r>
            <w:r>
              <w:rPr>
                <w:rFonts w:hint="default" w:ascii="Times New Roman" w:hAnsi="Times New Roman" w:eastAsia="仿宋" w:cs="Times New Roman"/>
                <w:color w:val="auto"/>
                <w:sz w:val="21"/>
                <w:szCs w:val="21"/>
              </w:rPr>
              <w:t>.0</w:t>
            </w:r>
          </w:p>
        </w:tc>
        <w:tc>
          <w:tcPr>
            <w:tcW w:w="2214" w:type="dxa"/>
            <w:vMerge w:val="continue"/>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993" w:type="dxa"/>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704" w:type="dxa"/>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其他</w:t>
            </w:r>
          </w:p>
        </w:tc>
        <w:tc>
          <w:tcPr>
            <w:tcW w:w="1704" w:type="dxa"/>
            <w:vMerge w:val="continue"/>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p>
        </w:tc>
        <w:tc>
          <w:tcPr>
            <w:tcW w:w="1705" w:type="dxa"/>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4</w:t>
            </w:r>
            <w:r>
              <w:rPr>
                <w:rFonts w:hint="default" w:ascii="Times New Roman" w:hAnsi="Times New Roman" w:eastAsia="仿宋" w:cs="Times New Roman"/>
                <w:color w:val="auto"/>
                <w:sz w:val="21"/>
                <w:szCs w:val="21"/>
              </w:rPr>
              <w:t>.0</w:t>
            </w:r>
          </w:p>
        </w:tc>
        <w:tc>
          <w:tcPr>
            <w:tcW w:w="2214" w:type="dxa"/>
            <w:vMerge w:val="continue"/>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401" w:type="dxa"/>
            <w:gridSpan w:val="3"/>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合计</w:t>
            </w:r>
          </w:p>
        </w:tc>
        <w:tc>
          <w:tcPr>
            <w:tcW w:w="1705" w:type="dxa"/>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20.0</w:t>
            </w:r>
          </w:p>
        </w:tc>
        <w:tc>
          <w:tcPr>
            <w:tcW w:w="2214" w:type="dxa"/>
            <w:vMerge w:val="continue"/>
            <w:tcMar>
              <w:top w:w="0" w:type="dxa"/>
              <w:left w:w="108" w:type="dxa"/>
              <w:bottom w:w="0" w:type="dxa"/>
              <w:right w:w="108" w:type="dxa"/>
            </w:tcMar>
            <w:vAlign w:val="center"/>
          </w:tcPr>
          <w:p>
            <w:pPr>
              <w:snapToGrid w:val="0"/>
              <w:jc w:val="center"/>
              <w:rPr>
                <w:rFonts w:hint="default" w:ascii="Times New Roman" w:hAnsi="Times New Roman" w:eastAsia="仿宋" w:cs="Times New Roman"/>
                <w:color w:val="auto"/>
                <w:sz w:val="21"/>
                <w:szCs w:val="21"/>
              </w:rPr>
            </w:pPr>
          </w:p>
        </w:tc>
      </w:tr>
    </w:tbl>
    <w:p>
      <w:pPr>
        <w:pStyle w:val="5"/>
        <w:keepNext/>
        <w:keepLines/>
        <w:widowControl w:val="0"/>
        <w:adjustRightInd w:val="0"/>
        <w:snapToGrid w:val="0"/>
        <w:spacing w:beforeLines="50" w:afterLines="50" w:line="480" w:lineRule="exact"/>
        <w:ind w:left="0"/>
        <w:jc w:val="both"/>
        <w:rPr>
          <w:rFonts w:hint="eastAsia" w:ascii="Times New Roman" w:hAnsi="Times New Roman" w:eastAsia="仿宋" w:cs="Times New Roman"/>
          <w:b/>
          <w:bCs/>
          <w:color w:val="auto"/>
          <w:sz w:val="30"/>
          <w:szCs w:val="30"/>
        </w:rPr>
      </w:pPr>
      <w:bookmarkStart w:id="376" w:name="_Toc525292701"/>
      <w:bookmarkStart w:id="377" w:name="_Toc22967"/>
      <w:r>
        <w:rPr>
          <w:rFonts w:hint="eastAsia" w:ascii="Times New Roman" w:hAnsi="Times New Roman" w:cs="Times New Roman"/>
          <w:b/>
          <w:bCs/>
          <w:color w:val="auto"/>
          <w:sz w:val="30"/>
          <w:szCs w:val="30"/>
          <w:lang w:val="en-US" w:eastAsia="zh-CN"/>
        </w:rPr>
        <w:t>11</w:t>
      </w:r>
      <w:r>
        <w:rPr>
          <w:rFonts w:hint="eastAsia" w:ascii="Times New Roman" w:hAnsi="Times New Roman" w:eastAsia="仿宋" w:cs="Times New Roman"/>
          <w:b/>
          <w:bCs/>
          <w:color w:val="auto"/>
          <w:sz w:val="30"/>
          <w:szCs w:val="30"/>
        </w:rPr>
        <w:t>.2 应急物资装备保障</w:t>
      </w:r>
      <w:bookmarkEnd w:id="376"/>
      <w:bookmarkEnd w:id="377"/>
      <w:r>
        <w:rPr>
          <w:rFonts w:hint="eastAsia" w:ascii="Times New Roman" w:hAnsi="Times New Roman" w:eastAsia="仿宋" w:cs="Times New Roman"/>
          <w:b/>
          <w:bCs/>
          <w:color w:val="auto"/>
          <w:sz w:val="30"/>
          <w:szCs w:val="30"/>
        </w:rPr>
        <w:t xml:space="preserve"> </w:t>
      </w:r>
    </w:p>
    <w:p>
      <w:pPr>
        <w:widowControl w:val="0"/>
        <w:numPr>
          <w:ilvl w:val="0"/>
          <w:numId w:val="0"/>
        </w:numPr>
        <w:wordWrap/>
        <w:adjustRightInd w:val="0"/>
        <w:snapToGrid w:val="0"/>
        <w:spacing w:beforeLines="50" w:afterLines="50" w:line="240" w:lineRule="auto"/>
        <w:ind w:firstLine="560" w:firstLineChars="200"/>
        <w:textAlignment w:val="auto"/>
        <w:rPr>
          <w:rFonts w:hint="default"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该公司应急保障资金由应急救援指挥部统一安排，以确保事故状态下经费的及时到位。各部门必须保管好各自范围内的应急器材和设备，并定期进行维护、保养。发现问题，立即进行修复，确保各种器材和设备始终处于完好备用状态，以便及时应对各类突发事件。</w:t>
      </w:r>
    </w:p>
    <w:p>
      <w:pPr>
        <w:widowControl w:val="0"/>
        <w:numPr>
          <w:ilvl w:val="0"/>
          <w:numId w:val="0"/>
        </w:numPr>
        <w:wordWrap/>
        <w:adjustRightInd w:val="0"/>
        <w:snapToGrid w:val="0"/>
        <w:spacing w:beforeLines="50" w:afterLines="50" w:line="240" w:lineRule="auto"/>
        <w:ind w:firstLine="560" w:firstLineChars="200"/>
        <w:textAlignment w:val="auto"/>
        <w:rPr>
          <w:rFonts w:hint="default" w:ascii="Times New Roman" w:hAnsi="Times New Roman" w:eastAsia="仿宋"/>
          <w:color w:val="auto"/>
          <w:sz w:val="28"/>
          <w:szCs w:val="28"/>
          <w:lang w:val="en-US" w:eastAsia="zh-CN"/>
        </w:rPr>
      </w:pPr>
      <w:r>
        <w:rPr>
          <w:rFonts w:hint="eastAsia" w:ascii="Times New Roman" w:hAnsi="Times New Roman" w:eastAsia="仿宋" w:cs="Times New Roman"/>
          <w:color w:val="auto"/>
          <w:sz w:val="28"/>
          <w:szCs w:val="28"/>
          <w:lang w:val="zh-CN" w:eastAsia="zh-CN"/>
        </w:rPr>
        <w:t>该公司应急物资装备配备情况具体见《环境应急资源调查报告》。</w:t>
      </w:r>
    </w:p>
    <w:p>
      <w:pPr>
        <w:pStyle w:val="5"/>
        <w:keepNext/>
        <w:keepLines/>
        <w:widowControl w:val="0"/>
        <w:adjustRightInd w:val="0"/>
        <w:snapToGrid w:val="0"/>
        <w:spacing w:beforeLines="50" w:afterLines="50" w:line="480" w:lineRule="exact"/>
        <w:ind w:left="0"/>
        <w:jc w:val="both"/>
        <w:rPr>
          <w:rFonts w:hint="eastAsia" w:ascii="Times New Roman" w:hAnsi="Times New Roman" w:eastAsia="仿宋" w:cs="Times New Roman"/>
          <w:b/>
          <w:bCs/>
          <w:color w:val="auto"/>
          <w:sz w:val="30"/>
          <w:szCs w:val="30"/>
        </w:rPr>
      </w:pPr>
      <w:bookmarkStart w:id="378" w:name="_Toc13451"/>
      <w:bookmarkStart w:id="379" w:name="_Toc525292702"/>
      <w:r>
        <w:rPr>
          <w:rFonts w:hint="eastAsia" w:ascii="Times New Roman" w:hAnsi="Times New Roman" w:eastAsia="仿宋" w:cs="Times New Roman"/>
          <w:b/>
          <w:bCs/>
          <w:color w:val="auto"/>
          <w:sz w:val="30"/>
          <w:szCs w:val="30"/>
        </w:rPr>
        <w:t>1</w:t>
      </w:r>
      <w:r>
        <w:rPr>
          <w:rFonts w:hint="eastAsia" w:ascii="Times New Roman" w:hAnsi="Times New Roman" w:cs="Times New Roman"/>
          <w:b/>
          <w:bCs/>
          <w:color w:val="auto"/>
          <w:sz w:val="30"/>
          <w:szCs w:val="30"/>
          <w:lang w:val="en-US" w:eastAsia="zh-CN"/>
        </w:rPr>
        <w:t>1</w:t>
      </w:r>
      <w:r>
        <w:rPr>
          <w:rFonts w:hint="eastAsia" w:ascii="Times New Roman" w:hAnsi="Times New Roman" w:eastAsia="仿宋" w:cs="Times New Roman"/>
          <w:b/>
          <w:bCs/>
          <w:color w:val="auto"/>
          <w:sz w:val="30"/>
          <w:szCs w:val="30"/>
        </w:rPr>
        <w:t>.3 应急队伍保障</w:t>
      </w:r>
      <w:bookmarkEnd w:id="378"/>
      <w:bookmarkEnd w:id="379"/>
      <w:r>
        <w:rPr>
          <w:rFonts w:hint="eastAsia" w:ascii="Times New Roman" w:hAnsi="Times New Roman" w:eastAsia="仿宋" w:cs="Times New Roman"/>
          <w:b/>
          <w:bCs/>
          <w:color w:val="auto"/>
          <w:sz w:val="30"/>
          <w:szCs w:val="30"/>
        </w:rPr>
        <w:t xml:space="preserve"> </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该公司设有4个应急救援专业小组，分别为抢险救援组、通讯联络组、医疗保障组、应急保障组，一旦发生突发环境事件由应急救援指挥部统一调动。另外在事故状态下应急救援指挥部还可从未受伤人员中选择健壮人员组建兼职救援队伍，在确保人身安全的情况下参与到应急救援中。</w:t>
      </w:r>
    </w:p>
    <w:p>
      <w:pPr>
        <w:pStyle w:val="5"/>
        <w:keepNext/>
        <w:keepLines/>
        <w:widowControl w:val="0"/>
        <w:adjustRightInd w:val="0"/>
        <w:snapToGrid w:val="0"/>
        <w:spacing w:beforeLines="50" w:afterLines="50" w:line="480" w:lineRule="exact"/>
        <w:ind w:left="0"/>
        <w:jc w:val="both"/>
        <w:rPr>
          <w:rFonts w:hint="eastAsia" w:ascii="Times New Roman" w:hAnsi="Times New Roman" w:eastAsia="仿宋" w:cs="Times New Roman"/>
          <w:b/>
          <w:bCs/>
          <w:color w:val="auto"/>
          <w:sz w:val="30"/>
          <w:szCs w:val="30"/>
        </w:rPr>
      </w:pPr>
      <w:bookmarkStart w:id="380" w:name="_Toc525292703"/>
      <w:bookmarkStart w:id="381" w:name="_Toc29036"/>
      <w:r>
        <w:rPr>
          <w:rFonts w:hint="eastAsia" w:ascii="Times New Roman" w:hAnsi="Times New Roman" w:eastAsia="仿宋" w:cs="Times New Roman"/>
          <w:b/>
          <w:bCs/>
          <w:color w:val="auto"/>
          <w:sz w:val="30"/>
          <w:szCs w:val="30"/>
        </w:rPr>
        <w:t>1</w:t>
      </w:r>
      <w:r>
        <w:rPr>
          <w:rFonts w:hint="eastAsia" w:ascii="Times New Roman" w:hAnsi="Times New Roman" w:cs="Times New Roman"/>
          <w:b/>
          <w:bCs/>
          <w:color w:val="auto"/>
          <w:sz w:val="30"/>
          <w:szCs w:val="30"/>
          <w:lang w:val="en-US" w:eastAsia="zh-CN"/>
        </w:rPr>
        <w:t>1</w:t>
      </w:r>
      <w:r>
        <w:rPr>
          <w:rFonts w:hint="eastAsia" w:ascii="Times New Roman" w:hAnsi="Times New Roman" w:eastAsia="仿宋" w:cs="Times New Roman"/>
          <w:b/>
          <w:bCs/>
          <w:color w:val="auto"/>
          <w:sz w:val="30"/>
          <w:szCs w:val="30"/>
        </w:rPr>
        <w:t>.4 通信与信息保障</w:t>
      </w:r>
      <w:bookmarkEnd w:id="380"/>
      <w:bookmarkEnd w:id="381"/>
      <w:r>
        <w:rPr>
          <w:rFonts w:hint="eastAsia" w:ascii="Times New Roman" w:hAnsi="Times New Roman" w:eastAsia="仿宋" w:cs="Times New Roman"/>
          <w:b/>
          <w:bCs/>
          <w:color w:val="auto"/>
          <w:sz w:val="30"/>
          <w:szCs w:val="30"/>
        </w:rPr>
        <w:t xml:space="preserve"> </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应急指挥组及各成员必须24小时开通个人手机，配备必要的有线、无线通信器材，值班电话保持24小时通畅，节假日必须安排人员值班，确保应急时能够统一调动有关人员、物资迅速到位。</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该公司应急队伍组成及联系方式见《突发环境事件应急资源调查报告》。</w:t>
      </w:r>
    </w:p>
    <w:p>
      <w:pPr>
        <w:pStyle w:val="5"/>
        <w:keepNext/>
        <w:keepLines/>
        <w:widowControl w:val="0"/>
        <w:wordWrap/>
        <w:adjustRightInd w:val="0"/>
        <w:snapToGrid w:val="0"/>
        <w:spacing w:before="0" w:beforeAutospacing="0" w:line="360" w:lineRule="auto"/>
        <w:ind w:left="0"/>
        <w:jc w:val="both"/>
        <w:textAlignment w:val="auto"/>
        <w:rPr>
          <w:rFonts w:hint="eastAsia" w:ascii="Times New Roman" w:hAnsi="Times New Roman" w:eastAsia="仿宋" w:cs="Times New Roman"/>
          <w:b/>
          <w:bCs/>
          <w:color w:val="auto"/>
          <w:sz w:val="30"/>
          <w:szCs w:val="30"/>
        </w:rPr>
      </w:pPr>
      <w:bookmarkStart w:id="382" w:name="_Toc10402"/>
      <w:bookmarkStart w:id="383" w:name="_Toc525292704"/>
      <w:r>
        <w:rPr>
          <w:rFonts w:hint="eastAsia" w:ascii="Times New Roman" w:hAnsi="Times New Roman" w:eastAsia="仿宋" w:cs="Times New Roman"/>
          <w:b/>
          <w:bCs/>
          <w:color w:val="auto"/>
          <w:sz w:val="30"/>
          <w:szCs w:val="30"/>
        </w:rPr>
        <w:t>1</w:t>
      </w:r>
      <w:r>
        <w:rPr>
          <w:rFonts w:hint="eastAsia" w:ascii="Times New Roman" w:hAnsi="Times New Roman" w:cs="Times New Roman"/>
          <w:b/>
          <w:bCs/>
          <w:color w:val="auto"/>
          <w:sz w:val="30"/>
          <w:szCs w:val="30"/>
          <w:lang w:val="en-US" w:eastAsia="zh-CN"/>
        </w:rPr>
        <w:t>1</w:t>
      </w:r>
      <w:r>
        <w:rPr>
          <w:rFonts w:hint="eastAsia" w:ascii="Times New Roman" w:hAnsi="Times New Roman" w:eastAsia="仿宋" w:cs="Times New Roman"/>
          <w:b/>
          <w:bCs/>
          <w:color w:val="auto"/>
          <w:sz w:val="30"/>
          <w:szCs w:val="30"/>
        </w:rPr>
        <w:t>.5 医疗保障</w:t>
      </w:r>
      <w:bookmarkEnd w:id="382"/>
      <w:bookmarkEnd w:id="383"/>
      <w:r>
        <w:rPr>
          <w:rFonts w:hint="eastAsia" w:ascii="Times New Roman" w:hAnsi="Times New Roman" w:eastAsia="仿宋" w:cs="Times New Roman"/>
          <w:b/>
          <w:bCs/>
          <w:color w:val="auto"/>
          <w:sz w:val="30"/>
          <w:szCs w:val="30"/>
        </w:rPr>
        <w:t xml:space="preserve"> </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该公司配备有的医疗救护用品，可以进行现场紧急救护及一般性伤病的治疗，在第一时间给予受伤人员及时救护，有效避免伤情进一步加重。此外还可请求外部医疗资源支援。在医疗保障上可以做到减少人员伤亡，确保生命安全。</w:t>
      </w:r>
    </w:p>
    <w:p>
      <w:pPr>
        <w:pStyle w:val="5"/>
        <w:keepNext/>
        <w:keepLines/>
        <w:widowControl w:val="0"/>
        <w:wordWrap/>
        <w:adjustRightInd w:val="0"/>
        <w:snapToGrid w:val="0"/>
        <w:spacing w:before="0" w:beforeAutospacing="0" w:line="360" w:lineRule="auto"/>
        <w:ind w:left="0"/>
        <w:jc w:val="both"/>
        <w:textAlignment w:val="auto"/>
        <w:rPr>
          <w:rFonts w:hint="eastAsia" w:ascii="Times New Roman" w:hAnsi="Times New Roman" w:eastAsia="仿宋" w:cs="Times New Roman"/>
          <w:b/>
          <w:bCs/>
          <w:color w:val="auto"/>
          <w:sz w:val="30"/>
          <w:szCs w:val="30"/>
        </w:rPr>
      </w:pPr>
      <w:bookmarkStart w:id="384" w:name="_Toc30626"/>
      <w:bookmarkStart w:id="385" w:name="_Toc525292705"/>
      <w:r>
        <w:rPr>
          <w:rFonts w:hint="eastAsia" w:ascii="Times New Roman" w:hAnsi="Times New Roman" w:eastAsia="仿宋" w:cs="Times New Roman"/>
          <w:b/>
          <w:bCs/>
          <w:color w:val="auto"/>
          <w:sz w:val="30"/>
          <w:szCs w:val="30"/>
        </w:rPr>
        <w:t>1</w:t>
      </w:r>
      <w:r>
        <w:rPr>
          <w:rFonts w:hint="eastAsia" w:ascii="Times New Roman" w:hAnsi="Times New Roman" w:cs="Times New Roman"/>
          <w:b/>
          <w:bCs/>
          <w:color w:val="auto"/>
          <w:sz w:val="30"/>
          <w:szCs w:val="30"/>
          <w:lang w:val="en-US" w:eastAsia="zh-CN"/>
        </w:rPr>
        <w:t>1</w:t>
      </w:r>
      <w:r>
        <w:rPr>
          <w:rFonts w:hint="eastAsia" w:ascii="Times New Roman" w:hAnsi="Times New Roman" w:eastAsia="仿宋" w:cs="Times New Roman"/>
          <w:b/>
          <w:bCs/>
          <w:color w:val="auto"/>
          <w:sz w:val="30"/>
          <w:szCs w:val="30"/>
        </w:rPr>
        <w:t>.6 交通运输保障</w:t>
      </w:r>
      <w:bookmarkEnd w:id="384"/>
      <w:bookmarkEnd w:id="385"/>
      <w:r>
        <w:rPr>
          <w:rFonts w:hint="eastAsia" w:ascii="Times New Roman" w:hAnsi="Times New Roman" w:eastAsia="仿宋" w:cs="Times New Roman"/>
          <w:b/>
          <w:bCs/>
          <w:color w:val="auto"/>
          <w:sz w:val="30"/>
          <w:szCs w:val="30"/>
        </w:rPr>
        <w:t xml:space="preserve"> </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突发环境事件发生后，交通安全管理部门应当及时对事故现场实行道路交通管制，组织开设应急救援“绿色通道”。道路设施受损时，建设部门应当迅速进行抢修，尽快恢复通畅状态。</w:t>
      </w:r>
    </w:p>
    <w:p>
      <w:pPr>
        <w:pStyle w:val="5"/>
        <w:keepNext/>
        <w:keepLines/>
        <w:widowControl w:val="0"/>
        <w:wordWrap/>
        <w:adjustRightInd w:val="0"/>
        <w:snapToGrid w:val="0"/>
        <w:spacing w:before="0" w:beforeAutospacing="0" w:line="360" w:lineRule="auto"/>
        <w:ind w:left="0"/>
        <w:jc w:val="both"/>
        <w:textAlignment w:val="auto"/>
        <w:rPr>
          <w:rFonts w:hint="eastAsia" w:ascii="Times New Roman" w:hAnsi="Times New Roman" w:eastAsia="仿宋" w:cs="Times New Roman"/>
          <w:b/>
          <w:bCs/>
          <w:color w:val="auto"/>
          <w:sz w:val="30"/>
          <w:szCs w:val="30"/>
        </w:rPr>
      </w:pPr>
      <w:bookmarkStart w:id="386" w:name="_Toc12842"/>
      <w:bookmarkStart w:id="387" w:name="_Toc525292706"/>
      <w:r>
        <w:rPr>
          <w:rFonts w:hint="eastAsia" w:ascii="Times New Roman" w:hAnsi="Times New Roman" w:eastAsia="仿宋" w:cs="Times New Roman"/>
          <w:b/>
          <w:bCs/>
          <w:color w:val="auto"/>
          <w:sz w:val="30"/>
          <w:szCs w:val="30"/>
        </w:rPr>
        <w:t>1</w:t>
      </w:r>
      <w:r>
        <w:rPr>
          <w:rFonts w:hint="eastAsia" w:ascii="Times New Roman" w:hAnsi="Times New Roman" w:cs="Times New Roman"/>
          <w:b/>
          <w:bCs/>
          <w:color w:val="auto"/>
          <w:sz w:val="30"/>
          <w:szCs w:val="30"/>
          <w:lang w:val="en-US" w:eastAsia="zh-CN"/>
        </w:rPr>
        <w:t>1</w:t>
      </w:r>
      <w:r>
        <w:rPr>
          <w:rFonts w:hint="eastAsia" w:ascii="Times New Roman" w:hAnsi="Times New Roman" w:eastAsia="仿宋" w:cs="Times New Roman"/>
          <w:b/>
          <w:bCs/>
          <w:color w:val="auto"/>
          <w:sz w:val="30"/>
          <w:szCs w:val="30"/>
        </w:rPr>
        <w:t>.7治安保障</w:t>
      </w:r>
      <w:bookmarkEnd w:id="386"/>
      <w:bookmarkEnd w:id="387"/>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⑴突发环境事件发生后，在公司应急救援指挥部的请求下，公安部门能够迅速对事故现场实行安全警戒和治安管制，加强对重点场所、重点人群的保护，严厉打击各种破坏活动。</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⑵突发环境事件发生后，在公司应急救援指挥部的请求下，公安部门能够立即在救灾现场周围组织设立警戒区和警戒哨，维持秩序，必要时申请徐州经济开发区管委会进行协助，及时疏散受事故影响的群众。</w:t>
      </w:r>
    </w:p>
    <w:p>
      <w:pPr>
        <w:pStyle w:val="5"/>
        <w:keepNext/>
        <w:keepLines/>
        <w:widowControl w:val="0"/>
        <w:wordWrap/>
        <w:adjustRightInd w:val="0"/>
        <w:snapToGrid w:val="0"/>
        <w:spacing w:before="0" w:beforeAutospacing="0" w:line="360" w:lineRule="auto"/>
        <w:ind w:left="0"/>
        <w:jc w:val="both"/>
        <w:textAlignment w:val="auto"/>
        <w:rPr>
          <w:rFonts w:hint="eastAsia" w:ascii="Times New Roman" w:hAnsi="Times New Roman" w:eastAsia="仿宋" w:cs="Times New Roman"/>
          <w:b/>
          <w:bCs/>
          <w:color w:val="auto"/>
          <w:sz w:val="30"/>
          <w:szCs w:val="30"/>
        </w:rPr>
      </w:pPr>
      <w:bookmarkStart w:id="388" w:name="_Toc525292707"/>
      <w:bookmarkStart w:id="389" w:name="_Toc15273"/>
      <w:r>
        <w:rPr>
          <w:rFonts w:hint="eastAsia" w:ascii="Times New Roman" w:hAnsi="Times New Roman" w:eastAsia="仿宋" w:cs="Times New Roman"/>
          <w:b/>
          <w:bCs/>
          <w:color w:val="auto"/>
          <w:sz w:val="30"/>
          <w:szCs w:val="30"/>
        </w:rPr>
        <w:t>1</w:t>
      </w:r>
      <w:r>
        <w:rPr>
          <w:rFonts w:hint="eastAsia" w:ascii="Times New Roman" w:hAnsi="Times New Roman" w:cs="Times New Roman"/>
          <w:b/>
          <w:bCs/>
          <w:color w:val="auto"/>
          <w:sz w:val="30"/>
          <w:szCs w:val="30"/>
          <w:lang w:val="en-US" w:eastAsia="zh-CN"/>
        </w:rPr>
        <w:t>1</w:t>
      </w:r>
      <w:r>
        <w:rPr>
          <w:rFonts w:hint="eastAsia" w:ascii="Times New Roman" w:hAnsi="Times New Roman" w:eastAsia="仿宋" w:cs="Times New Roman"/>
          <w:b/>
          <w:bCs/>
          <w:color w:val="auto"/>
          <w:sz w:val="30"/>
          <w:szCs w:val="30"/>
        </w:rPr>
        <w:t>.8技术保障</w:t>
      </w:r>
      <w:bookmarkEnd w:id="388"/>
      <w:bookmarkEnd w:id="389"/>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该公司可依托徐州市环境应急专家库，组织有关专家针对不同类型的环境事件开展预测、预防、预警和应急处置方法的研究。确保在启动预警直至事件处置完毕的全过程中，相关环境专家能迅速到位，为指挥决策提供服务。</w:t>
      </w:r>
    </w:p>
    <w:p>
      <w:pPr>
        <w:pStyle w:val="4"/>
        <w:keepNext/>
        <w:keepLines/>
        <w:widowControl w:val="0"/>
        <w:adjustRightInd w:val="0"/>
        <w:snapToGrid w:val="0"/>
        <w:spacing w:beforeLines="50" w:afterLines="50" w:line="480" w:lineRule="exact"/>
        <w:ind w:left="0"/>
        <w:jc w:val="both"/>
        <w:outlineLvl w:val="0"/>
        <w:rPr>
          <w:rFonts w:hint="default" w:ascii="Times New Roman" w:hAnsi="Times New Roman" w:eastAsia="仿宋" w:cs="Times New Roman"/>
          <w:b/>
          <w:color w:val="auto"/>
          <w:sz w:val="32"/>
          <w:szCs w:val="32"/>
        </w:rPr>
      </w:pPr>
      <w:bookmarkStart w:id="390" w:name="_Toc525292708"/>
      <w:bookmarkStart w:id="391" w:name="_Toc9429"/>
      <w:r>
        <w:rPr>
          <w:rFonts w:hint="eastAsia" w:ascii="Times New Roman" w:hAnsi="Times New Roman" w:cs="Times New Roman"/>
          <w:b/>
          <w:color w:val="auto"/>
          <w:sz w:val="32"/>
          <w:szCs w:val="32"/>
          <w:lang w:val="en-US" w:eastAsia="zh-CN"/>
        </w:rPr>
        <w:t>12</w:t>
      </w:r>
      <w:r>
        <w:rPr>
          <w:rFonts w:hint="eastAsia" w:ascii="Times New Roman" w:hAnsi="Times New Roman" w:eastAsia="仿宋" w:cs="Times New Roman"/>
          <w:b/>
          <w:color w:val="auto"/>
          <w:sz w:val="32"/>
          <w:szCs w:val="32"/>
          <w:lang w:eastAsia="zh-CN"/>
        </w:rPr>
        <w:t>、</w:t>
      </w:r>
      <w:r>
        <w:rPr>
          <w:rFonts w:hint="default" w:ascii="Times New Roman" w:hAnsi="Times New Roman" w:eastAsia="仿宋" w:cs="Times New Roman"/>
          <w:b/>
          <w:color w:val="auto"/>
          <w:sz w:val="32"/>
          <w:szCs w:val="32"/>
        </w:rPr>
        <w:t>预案的评审、备案、发布和更新</w:t>
      </w:r>
      <w:bookmarkEnd w:id="390"/>
      <w:bookmarkEnd w:id="391"/>
      <w:r>
        <w:rPr>
          <w:rFonts w:hint="default" w:ascii="Times New Roman" w:hAnsi="Times New Roman" w:eastAsia="仿宋" w:cs="Times New Roman"/>
          <w:b/>
          <w:color w:val="auto"/>
          <w:sz w:val="32"/>
          <w:szCs w:val="32"/>
        </w:rPr>
        <w:t xml:space="preserve"> </w:t>
      </w:r>
    </w:p>
    <w:p>
      <w:pPr>
        <w:pStyle w:val="5"/>
        <w:keepNext/>
        <w:keepLines/>
        <w:widowControl w:val="0"/>
        <w:adjustRightInd w:val="0"/>
        <w:snapToGrid w:val="0"/>
        <w:spacing w:beforeLines="50" w:afterLines="50" w:line="480" w:lineRule="exact"/>
        <w:ind w:left="0"/>
        <w:jc w:val="both"/>
        <w:rPr>
          <w:rFonts w:hint="eastAsia" w:ascii="Times New Roman" w:hAnsi="Times New Roman" w:eastAsia="仿宋" w:cs="Times New Roman"/>
          <w:b/>
          <w:bCs/>
          <w:color w:val="auto"/>
          <w:sz w:val="30"/>
          <w:szCs w:val="30"/>
        </w:rPr>
      </w:pPr>
      <w:bookmarkStart w:id="392" w:name="_Toc525292709"/>
      <w:bookmarkStart w:id="393" w:name="_Toc1414"/>
      <w:r>
        <w:rPr>
          <w:rFonts w:hint="eastAsia" w:ascii="Times New Roman" w:hAnsi="Times New Roman" w:eastAsia="仿宋" w:cs="Times New Roman"/>
          <w:b/>
          <w:bCs/>
          <w:color w:val="auto"/>
          <w:sz w:val="30"/>
          <w:szCs w:val="30"/>
        </w:rPr>
        <w:t>1</w:t>
      </w:r>
      <w:r>
        <w:rPr>
          <w:rFonts w:hint="eastAsia" w:ascii="Times New Roman" w:hAnsi="Times New Roman" w:cs="Times New Roman"/>
          <w:b/>
          <w:bCs/>
          <w:color w:val="auto"/>
          <w:sz w:val="30"/>
          <w:szCs w:val="30"/>
          <w:lang w:val="en-US" w:eastAsia="zh-CN"/>
        </w:rPr>
        <w:t>2</w:t>
      </w:r>
      <w:r>
        <w:rPr>
          <w:rFonts w:hint="eastAsia" w:ascii="Times New Roman" w:hAnsi="Times New Roman" w:eastAsia="仿宋" w:cs="Times New Roman"/>
          <w:b/>
          <w:bCs/>
          <w:color w:val="auto"/>
          <w:sz w:val="30"/>
          <w:szCs w:val="30"/>
        </w:rPr>
        <w:t>.1 预案的内部评审</w:t>
      </w:r>
      <w:bookmarkEnd w:id="392"/>
      <w:bookmarkEnd w:id="393"/>
      <w:r>
        <w:rPr>
          <w:rFonts w:hint="eastAsia" w:ascii="Times New Roman" w:hAnsi="Times New Roman" w:eastAsia="仿宋" w:cs="Times New Roman"/>
          <w:b/>
          <w:bCs/>
          <w:color w:val="auto"/>
          <w:sz w:val="30"/>
          <w:szCs w:val="30"/>
        </w:rPr>
        <w:t xml:space="preserve"> </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本预案于</w:t>
      </w:r>
      <w:r>
        <w:rPr>
          <w:rFonts w:hint="eastAsia" w:ascii="Times New Roman" w:hAnsi="Times New Roman" w:eastAsia="仿宋" w:cs="Times New Roman"/>
          <w:color w:val="auto"/>
          <w:sz w:val="28"/>
          <w:szCs w:val="28"/>
          <w:lang w:val="en-US" w:eastAsia="zh-CN"/>
        </w:rPr>
        <w:t>2019</w:t>
      </w:r>
      <w:r>
        <w:rPr>
          <w:rFonts w:hint="eastAsia" w:ascii="Times New Roman" w:hAnsi="Times New Roman" w:eastAsia="仿宋" w:cs="Times New Roman"/>
          <w:color w:val="auto"/>
          <w:sz w:val="28"/>
          <w:szCs w:val="28"/>
          <w:lang w:val="zh-CN" w:eastAsia="zh-CN"/>
        </w:rPr>
        <w:t>年</w:t>
      </w:r>
      <w:r>
        <w:rPr>
          <w:rFonts w:hint="eastAsia" w:ascii="Times New Roman" w:hAnsi="Times New Roman" w:eastAsia="仿宋" w:cs="Times New Roman"/>
          <w:color w:val="auto"/>
          <w:sz w:val="28"/>
          <w:szCs w:val="28"/>
          <w:lang w:val="en-US" w:eastAsia="zh-CN"/>
        </w:rPr>
        <w:t>12</w:t>
      </w:r>
      <w:r>
        <w:rPr>
          <w:rFonts w:hint="eastAsia" w:ascii="Times New Roman" w:hAnsi="Times New Roman" w:eastAsia="仿宋" w:cs="Times New Roman"/>
          <w:color w:val="auto"/>
          <w:sz w:val="28"/>
          <w:szCs w:val="28"/>
          <w:lang w:val="zh-CN" w:eastAsia="zh-CN"/>
        </w:rPr>
        <w:t>月</w:t>
      </w:r>
      <w:r>
        <w:rPr>
          <w:rFonts w:hint="eastAsia" w:ascii="Times New Roman" w:hAnsi="Times New Roman" w:eastAsia="仿宋" w:cs="Times New Roman"/>
          <w:color w:val="auto"/>
          <w:sz w:val="28"/>
          <w:szCs w:val="28"/>
          <w:lang w:val="en-US" w:eastAsia="zh-CN"/>
        </w:rPr>
        <w:t>11</w:t>
      </w:r>
      <w:r>
        <w:rPr>
          <w:rFonts w:hint="eastAsia" w:ascii="Times New Roman" w:hAnsi="Times New Roman" w:eastAsia="仿宋" w:cs="Times New Roman"/>
          <w:color w:val="auto"/>
          <w:sz w:val="28"/>
          <w:szCs w:val="28"/>
          <w:lang w:val="zh-CN" w:eastAsia="zh-CN"/>
        </w:rPr>
        <w:t>日通过</w:t>
      </w:r>
      <w:r>
        <w:rPr>
          <w:rFonts w:hint="eastAsia" w:ascii="Times New Roman" w:hAnsi="Times New Roman" w:eastAsia="仿宋" w:cs="Times New Roman"/>
          <w:color w:val="auto"/>
          <w:sz w:val="28"/>
          <w:szCs w:val="28"/>
          <w:lang w:val="en-US" w:eastAsia="zh-CN"/>
        </w:rPr>
        <w:t>江苏超力建材科技有限公司</w:t>
      </w:r>
      <w:r>
        <w:rPr>
          <w:rFonts w:hint="eastAsia" w:ascii="Times New Roman" w:hAnsi="Times New Roman" w:eastAsia="仿宋" w:cs="Times New Roman"/>
          <w:color w:val="auto"/>
          <w:sz w:val="28"/>
          <w:szCs w:val="28"/>
          <w:lang w:val="zh-CN" w:eastAsia="zh-CN"/>
        </w:rPr>
        <w:t xml:space="preserve">内部评审。 </w:t>
      </w:r>
    </w:p>
    <w:p>
      <w:pPr>
        <w:pStyle w:val="5"/>
        <w:keepNext/>
        <w:keepLines/>
        <w:widowControl w:val="0"/>
        <w:adjustRightInd w:val="0"/>
        <w:snapToGrid w:val="0"/>
        <w:spacing w:beforeLines="50" w:afterLines="50" w:line="480" w:lineRule="exact"/>
        <w:ind w:left="0"/>
        <w:jc w:val="both"/>
        <w:rPr>
          <w:rFonts w:hint="eastAsia" w:ascii="Times New Roman" w:hAnsi="Times New Roman" w:eastAsia="仿宋" w:cs="Times New Roman"/>
          <w:b/>
          <w:bCs/>
          <w:color w:val="auto"/>
          <w:sz w:val="30"/>
          <w:szCs w:val="30"/>
        </w:rPr>
      </w:pPr>
      <w:bookmarkStart w:id="394" w:name="_Toc525292710"/>
      <w:bookmarkStart w:id="395" w:name="_Toc18248"/>
      <w:r>
        <w:rPr>
          <w:rFonts w:hint="eastAsia" w:ascii="Times New Roman" w:hAnsi="Times New Roman" w:eastAsia="仿宋" w:cs="Times New Roman"/>
          <w:b/>
          <w:bCs/>
          <w:color w:val="auto"/>
          <w:sz w:val="30"/>
          <w:szCs w:val="30"/>
        </w:rPr>
        <w:t>1</w:t>
      </w:r>
      <w:r>
        <w:rPr>
          <w:rFonts w:hint="eastAsia" w:ascii="Times New Roman" w:hAnsi="Times New Roman" w:cs="Times New Roman"/>
          <w:b/>
          <w:bCs/>
          <w:color w:val="auto"/>
          <w:sz w:val="30"/>
          <w:szCs w:val="30"/>
          <w:lang w:val="en-US" w:eastAsia="zh-CN"/>
        </w:rPr>
        <w:t>2</w:t>
      </w:r>
      <w:r>
        <w:rPr>
          <w:rFonts w:hint="eastAsia" w:ascii="Times New Roman" w:hAnsi="Times New Roman" w:eastAsia="仿宋" w:cs="Times New Roman"/>
          <w:b/>
          <w:bCs/>
          <w:color w:val="auto"/>
          <w:sz w:val="30"/>
          <w:szCs w:val="30"/>
        </w:rPr>
        <w:t>.2 预案的外部评审</w:t>
      </w:r>
      <w:bookmarkEnd w:id="394"/>
      <w:bookmarkEnd w:id="395"/>
      <w:r>
        <w:rPr>
          <w:rFonts w:hint="eastAsia" w:ascii="Times New Roman" w:hAnsi="Times New Roman" w:eastAsia="仿宋" w:cs="Times New Roman"/>
          <w:b/>
          <w:bCs/>
          <w:color w:val="auto"/>
          <w:sz w:val="30"/>
          <w:szCs w:val="30"/>
        </w:rPr>
        <w:t xml:space="preserve"> </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本预案于</w:t>
      </w:r>
      <w:r>
        <w:rPr>
          <w:rFonts w:hint="eastAsia" w:ascii="Times New Roman" w:hAnsi="Times New Roman" w:eastAsia="仿宋" w:cs="Times New Roman"/>
          <w:color w:val="auto"/>
          <w:sz w:val="28"/>
          <w:szCs w:val="28"/>
          <w:lang w:val="en-US" w:eastAsia="zh-CN"/>
        </w:rPr>
        <w:t>2019</w:t>
      </w:r>
      <w:r>
        <w:rPr>
          <w:rFonts w:hint="eastAsia" w:ascii="Times New Roman" w:hAnsi="Times New Roman" w:eastAsia="仿宋" w:cs="Times New Roman"/>
          <w:color w:val="auto"/>
          <w:sz w:val="28"/>
          <w:szCs w:val="28"/>
          <w:lang w:val="zh-CN" w:eastAsia="zh-CN"/>
        </w:rPr>
        <w:t>年</w:t>
      </w:r>
      <w:r>
        <w:rPr>
          <w:rFonts w:hint="eastAsia" w:ascii="Times New Roman" w:hAnsi="Times New Roman" w:eastAsia="仿宋" w:cs="Times New Roman"/>
          <w:color w:val="auto"/>
          <w:sz w:val="28"/>
          <w:szCs w:val="28"/>
          <w:lang w:val="en-US" w:eastAsia="zh-CN"/>
        </w:rPr>
        <w:t xml:space="preserve">12 </w:t>
      </w:r>
      <w:r>
        <w:rPr>
          <w:rFonts w:hint="eastAsia" w:ascii="Times New Roman" w:hAnsi="Times New Roman" w:eastAsia="仿宋" w:cs="Times New Roman"/>
          <w:color w:val="auto"/>
          <w:sz w:val="28"/>
          <w:szCs w:val="28"/>
          <w:lang w:val="zh-CN" w:eastAsia="zh-CN"/>
        </w:rPr>
        <w:t>月</w:t>
      </w:r>
      <w:r>
        <w:rPr>
          <w:rFonts w:hint="eastAsia" w:ascii="Times New Roman" w:hAnsi="Times New Roman" w:eastAsia="仿宋" w:cs="Times New Roman"/>
          <w:color w:val="auto"/>
          <w:sz w:val="28"/>
          <w:szCs w:val="28"/>
          <w:lang w:val="en-US" w:eastAsia="zh-CN"/>
        </w:rPr>
        <w:t>13</w:t>
      </w:r>
      <w:r>
        <w:rPr>
          <w:rFonts w:hint="eastAsia" w:ascii="Times New Roman" w:hAnsi="Times New Roman" w:eastAsia="仿宋" w:cs="Times New Roman"/>
          <w:color w:val="auto"/>
          <w:sz w:val="28"/>
          <w:szCs w:val="28"/>
          <w:lang w:val="zh-CN" w:eastAsia="zh-CN"/>
        </w:rPr>
        <w:t>日通过了</w:t>
      </w:r>
      <w:r>
        <w:rPr>
          <w:rFonts w:hint="eastAsia" w:ascii="Times New Roman" w:hAnsi="Times New Roman" w:eastAsia="仿宋" w:cs="Times New Roman"/>
          <w:color w:val="auto"/>
          <w:sz w:val="28"/>
          <w:szCs w:val="28"/>
          <w:lang w:val="en-US" w:eastAsia="zh-CN"/>
        </w:rPr>
        <w:t>江苏超力建材科技有限公司</w:t>
      </w:r>
      <w:r>
        <w:rPr>
          <w:rFonts w:hint="eastAsia" w:ascii="Times New Roman" w:hAnsi="Times New Roman" w:eastAsia="仿宋" w:cs="Times New Roman"/>
          <w:color w:val="auto"/>
          <w:sz w:val="28"/>
          <w:szCs w:val="28"/>
          <w:lang w:val="zh-CN" w:eastAsia="zh-CN"/>
        </w:rPr>
        <w:t>组织的外部专家评审。</w:t>
      </w:r>
    </w:p>
    <w:p>
      <w:pPr>
        <w:pStyle w:val="5"/>
        <w:keepNext/>
        <w:keepLines/>
        <w:widowControl w:val="0"/>
        <w:adjustRightInd w:val="0"/>
        <w:snapToGrid w:val="0"/>
        <w:spacing w:beforeLines="50" w:afterLines="50" w:line="480" w:lineRule="exact"/>
        <w:ind w:left="0"/>
        <w:jc w:val="both"/>
        <w:rPr>
          <w:rFonts w:hint="eastAsia" w:ascii="Times New Roman" w:hAnsi="Times New Roman" w:eastAsia="仿宋" w:cs="Times New Roman"/>
          <w:b/>
          <w:bCs/>
          <w:color w:val="auto"/>
          <w:sz w:val="30"/>
          <w:szCs w:val="30"/>
        </w:rPr>
      </w:pPr>
      <w:bookmarkStart w:id="396" w:name="_Toc27952"/>
      <w:bookmarkStart w:id="397" w:name="_Toc525292711"/>
      <w:r>
        <w:rPr>
          <w:rFonts w:hint="eastAsia" w:ascii="Times New Roman" w:hAnsi="Times New Roman" w:eastAsia="仿宋" w:cs="Times New Roman"/>
          <w:b/>
          <w:bCs/>
          <w:color w:val="auto"/>
          <w:sz w:val="30"/>
          <w:szCs w:val="30"/>
        </w:rPr>
        <w:t>1</w:t>
      </w:r>
      <w:r>
        <w:rPr>
          <w:rFonts w:hint="eastAsia" w:ascii="Times New Roman" w:hAnsi="Times New Roman" w:cs="Times New Roman"/>
          <w:b/>
          <w:bCs/>
          <w:color w:val="auto"/>
          <w:sz w:val="30"/>
          <w:szCs w:val="30"/>
          <w:lang w:val="en-US" w:eastAsia="zh-CN"/>
        </w:rPr>
        <w:t>2</w:t>
      </w:r>
      <w:r>
        <w:rPr>
          <w:rFonts w:hint="eastAsia" w:ascii="Times New Roman" w:hAnsi="Times New Roman" w:eastAsia="仿宋" w:cs="Times New Roman"/>
          <w:b/>
          <w:bCs/>
          <w:color w:val="auto"/>
          <w:sz w:val="30"/>
          <w:szCs w:val="30"/>
        </w:rPr>
        <w:t>.3 备案</w:t>
      </w:r>
      <w:bookmarkEnd w:id="396"/>
      <w:bookmarkEnd w:id="397"/>
      <w:r>
        <w:rPr>
          <w:rFonts w:hint="eastAsia" w:ascii="Times New Roman" w:hAnsi="Times New Roman" w:eastAsia="仿宋" w:cs="Times New Roman"/>
          <w:b/>
          <w:bCs/>
          <w:color w:val="auto"/>
          <w:sz w:val="30"/>
          <w:szCs w:val="30"/>
        </w:rPr>
        <w:t xml:space="preserve"> </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 xml:space="preserve">本预案于 </w:t>
      </w:r>
      <w:r>
        <w:rPr>
          <w:rFonts w:hint="eastAsia" w:ascii="Times New Roman" w:hAnsi="Times New Roman" w:eastAsia="仿宋" w:cs="Times New Roman"/>
          <w:color w:val="auto"/>
          <w:sz w:val="28"/>
          <w:szCs w:val="28"/>
          <w:lang w:val="en-US" w:eastAsia="zh-CN"/>
        </w:rPr>
        <w:t xml:space="preserve">  </w:t>
      </w:r>
      <w:r>
        <w:rPr>
          <w:rFonts w:hint="eastAsia" w:ascii="Times New Roman" w:hAnsi="Times New Roman" w:eastAsia="仿宋" w:cs="Times New Roman"/>
          <w:color w:val="auto"/>
          <w:sz w:val="28"/>
          <w:szCs w:val="28"/>
          <w:lang w:val="zh-CN" w:eastAsia="zh-CN"/>
        </w:rPr>
        <w:t>年</w:t>
      </w:r>
      <w:r>
        <w:rPr>
          <w:rFonts w:hint="eastAsia" w:ascii="Times New Roman" w:hAnsi="Times New Roman" w:eastAsia="仿宋" w:cs="Times New Roman"/>
          <w:color w:val="auto"/>
          <w:sz w:val="28"/>
          <w:szCs w:val="28"/>
          <w:lang w:val="en-US" w:eastAsia="zh-CN"/>
        </w:rPr>
        <w:t xml:space="preserve">   </w:t>
      </w:r>
      <w:r>
        <w:rPr>
          <w:rFonts w:hint="eastAsia" w:ascii="Times New Roman" w:hAnsi="Times New Roman" w:eastAsia="仿宋" w:cs="Times New Roman"/>
          <w:color w:val="auto"/>
          <w:sz w:val="28"/>
          <w:szCs w:val="28"/>
          <w:lang w:val="zh-CN" w:eastAsia="zh-CN"/>
        </w:rPr>
        <w:t>月在</w:t>
      </w:r>
      <w:r>
        <w:rPr>
          <w:rFonts w:hint="eastAsia" w:ascii="Times New Roman" w:hAnsi="Times New Roman" w:eastAsia="仿宋" w:cs="Times New Roman"/>
          <w:color w:val="auto"/>
          <w:sz w:val="28"/>
          <w:szCs w:val="28"/>
          <w:lang w:val="en-US" w:eastAsia="zh-CN"/>
        </w:rPr>
        <w:t xml:space="preserve">     </w:t>
      </w:r>
      <w:r>
        <w:rPr>
          <w:rFonts w:hint="eastAsia" w:ascii="Times New Roman" w:hAnsi="Times New Roman" w:eastAsia="仿宋" w:cs="Times New Roman"/>
          <w:color w:val="auto"/>
          <w:sz w:val="28"/>
          <w:szCs w:val="28"/>
          <w:lang w:val="zh-CN" w:eastAsia="zh-CN"/>
        </w:rPr>
        <w:t xml:space="preserve">进行登记备案。 </w:t>
      </w:r>
    </w:p>
    <w:p>
      <w:pPr>
        <w:pStyle w:val="5"/>
        <w:keepNext/>
        <w:keepLines/>
        <w:widowControl w:val="0"/>
        <w:adjustRightInd w:val="0"/>
        <w:snapToGrid w:val="0"/>
        <w:spacing w:beforeLines="50" w:afterLines="50" w:line="480" w:lineRule="exact"/>
        <w:ind w:left="0"/>
        <w:jc w:val="both"/>
        <w:rPr>
          <w:rFonts w:hint="eastAsia" w:ascii="Times New Roman" w:hAnsi="Times New Roman" w:eastAsia="仿宋" w:cs="Times New Roman"/>
          <w:b/>
          <w:bCs/>
          <w:color w:val="auto"/>
          <w:sz w:val="30"/>
          <w:szCs w:val="30"/>
        </w:rPr>
      </w:pPr>
      <w:bookmarkStart w:id="398" w:name="_Toc525292712"/>
      <w:bookmarkStart w:id="399" w:name="_Toc13790"/>
      <w:r>
        <w:rPr>
          <w:rFonts w:hint="eastAsia" w:ascii="Times New Roman" w:hAnsi="Times New Roman" w:eastAsia="仿宋" w:cs="Times New Roman"/>
          <w:b/>
          <w:bCs/>
          <w:color w:val="auto"/>
          <w:sz w:val="30"/>
          <w:szCs w:val="30"/>
        </w:rPr>
        <w:t>1</w:t>
      </w:r>
      <w:r>
        <w:rPr>
          <w:rFonts w:hint="eastAsia" w:ascii="Times New Roman" w:hAnsi="Times New Roman" w:cs="Times New Roman"/>
          <w:b/>
          <w:bCs/>
          <w:color w:val="auto"/>
          <w:sz w:val="30"/>
          <w:szCs w:val="30"/>
          <w:lang w:val="en-US" w:eastAsia="zh-CN"/>
        </w:rPr>
        <w:t>2</w:t>
      </w:r>
      <w:r>
        <w:rPr>
          <w:rFonts w:hint="eastAsia" w:ascii="Times New Roman" w:hAnsi="Times New Roman" w:eastAsia="仿宋" w:cs="Times New Roman"/>
          <w:b/>
          <w:bCs/>
          <w:color w:val="auto"/>
          <w:sz w:val="30"/>
          <w:szCs w:val="30"/>
        </w:rPr>
        <w:t>.4 发布和更新</w:t>
      </w:r>
      <w:bookmarkEnd w:id="398"/>
      <w:bookmarkEnd w:id="399"/>
      <w:r>
        <w:rPr>
          <w:rFonts w:hint="eastAsia" w:ascii="Times New Roman" w:hAnsi="Times New Roman" w:eastAsia="仿宋" w:cs="Times New Roman"/>
          <w:b/>
          <w:bCs/>
          <w:color w:val="auto"/>
          <w:sz w:val="30"/>
          <w:szCs w:val="30"/>
        </w:rPr>
        <w:t xml:space="preserve"> </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本预案需经法定代表人审核后方可发布，本预案在实施过程中，遇如下情况应进行更新：</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①有关法律、法规的调整；</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②同行业发生事故，需要吸取教训的；</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③安全隐患检查发现隐患或缺陷的；</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④设备出现变更的；</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⑤公司内部人员变动或联系方式改变的。</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上述情况除第⑤条情况之外，其余情况引起修订的，应当重新备案。</w:t>
      </w:r>
    </w:p>
    <w:p>
      <w:pPr>
        <w:widowControl w:val="0"/>
        <w:numPr>
          <w:ilvl w:val="0"/>
          <w:numId w:val="0"/>
        </w:numPr>
        <w:wordWrap/>
        <w:adjustRightInd w:val="0"/>
        <w:snapToGrid w:val="0"/>
        <w:spacing w:beforeLines="50" w:afterLines="50" w:line="240" w:lineRule="auto"/>
        <w:ind w:firstLine="560" w:firstLineChars="200"/>
        <w:textAlignment w:val="auto"/>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本预案在实施过程中，每三年至少修订更新一次。</w:t>
      </w:r>
    </w:p>
    <w:p>
      <w:pPr>
        <w:pStyle w:val="5"/>
        <w:keepNext/>
        <w:keepLines/>
        <w:widowControl w:val="0"/>
        <w:adjustRightInd w:val="0"/>
        <w:snapToGrid w:val="0"/>
        <w:spacing w:beforeLines="50" w:afterLines="50" w:line="480" w:lineRule="exact"/>
        <w:ind w:left="0"/>
        <w:jc w:val="both"/>
        <w:rPr>
          <w:rFonts w:hint="eastAsia" w:ascii="Times New Roman" w:hAnsi="Times New Roman" w:eastAsia="仿宋" w:cs="Times New Roman"/>
          <w:b/>
          <w:bCs/>
          <w:color w:val="auto"/>
          <w:sz w:val="30"/>
          <w:szCs w:val="30"/>
        </w:rPr>
      </w:pPr>
      <w:bookmarkStart w:id="400" w:name="_Toc30933"/>
      <w:bookmarkStart w:id="401" w:name="_Toc525292713"/>
      <w:r>
        <w:rPr>
          <w:rFonts w:hint="eastAsia" w:ascii="Times New Roman" w:hAnsi="Times New Roman" w:eastAsia="仿宋" w:cs="Times New Roman"/>
          <w:b/>
          <w:bCs/>
          <w:color w:val="auto"/>
          <w:sz w:val="30"/>
          <w:szCs w:val="30"/>
        </w:rPr>
        <w:t>1</w:t>
      </w:r>
      <w:r>
        <w:rPr>
          <w:rFonts w:hint="eastAsia" w:ascii="Times New Roman" w:hAnsi="Times New Roman" w:cs="Times New Roman"/>
          <w:b/>
          <w:bCs/>
          <w:color w:val="auto"/>
          <w:sz w:val="30"/>
          <w:szCs w:val="30"/>
          <w:lang w:val="en-US" w:eastAsia="zh-CN"/>
        </w:rPr>
        <w:t>2</w:t>
      </w:r>
      <w:r>
        <w:rPr>
          <w:rFonts w:hint="eastAsia" w:ascii="Times New Roman" w:hAnsi="Times New Roman" w:eastAsia="仿宋" w:cs="Times New Roman"/>
          <w:b/>
          <w:bCs/>
          <w:color w:val="auto"/>
          <w:sz w:val="30"/>
          <w:szCs w:val="30"/>
        </w:rPr>
        <w:t>.5 预案的实施和生效时间</w:t>
      </w:r>
      <w:bookmarkEnd w:id="400"/>
      <w:bookmarkEnd w:id="401"/>
      <w:r>
        <w:rPr>
          <w:rFonts w:hint="eastAsia" w:ascii="Times New Roman" w:hAnsi="Times New Roman" w:eastAsia="仿宋" w:cs="Times New Roman"/>
          <w:b/>
          <w:bCs/>
          <w:color w:val="auto"/>
          <w:sz w:val="30"/>
          <w:szCs w:val="30"/>
        </w:rPr>
        <w:t xml:space="preserve"> </w:t>
      </w:r>
    </w:p>
    <w:p>
      <w:pPr>
        <w:snapToGrid w:val="0"/>
        <w:spacing w:line="500" w:lineRule="exact"/>
        <w:ind w:firstLine="621" w:firstLineChars="222"/>
        <w:rPr>
          <w:rFonts w:hint="eastAsia" w:ascii="Times New Roman" w:hAnsi="Times New Roman" w:eastAsia="仿宋" w:cs="Times New Roman"/>
          <w:color w:val="auto"/>
          <w:sz w:val="28"/>
          <w:szCs w:val="28"/>
          <w:lang w:val="zh-CN" w:eastAsia="zh-CN"/>
        </w:rPr>
      </w:pPr>
      <w:r>
        <w:rPr>
          <w:rFonts w:hint="eastAsia" w:ascii="Times New Roman" w:hAnsi="Times New Roman" w:eastAsia="仿宋" w:cs="Times New Roman"/>
          <w:color w:val="auto"/>
          <w:sz w:val="28"/>
          <w:szCs w:val="28"/>
          <w:lang w:val="zh-CN" w:eastAsia="zh-CN"/>
        </w:rPr>
        <w:t>本预案自发布之日起实施和生效。</w:t>
      </w:r>
    </w:p>
    <w:p>
      <w:pPr>
        <w:pStyle w:val="4"/>
        <w:keepNext/>
        <w:keepLines/>
        <w:widowControl w:val="0"/>
        <w:adjustRightInd w:val="0"/>
        <w:snapToGrid w:val="0"/>
        <w:spacing w:beforeLines="50" w:afterLines="50" w:line="480" w:lineRule="exact"/>
        <w:ind w:left="0"/>
        <w:jc w:val="both"/>
        <w:outlineLvl w:val="0"/>
        <w:rPr>
          <w:rFonts w:hint="default" w:ascii="Times New Roman" w:hAnsi="Times New Roman" w:eastAsia="仿宋" w:cs="Times New Roman"/>
          <w:b/>
          <w:color w:val="auto"/>
          <w:sz w:val="30"/>
          <w:szCs w:val="30"/>
        </w:rPr>
      </w:pPr>
      <w:bookmarkStart w:id="402" w:name="_Toc13407"/>
      <w:bookmarkStart w:id="403" w:name="_Toc516651913"/>
      <w:bookmarkStart w:id="404" w:name="_Toc525292714"/>
      <w:r>
        <w:rPr>
          <w:rFonts w:hint="default" w:ascii="Times New Roman" w:hAnsi="Times New Roman" w:eastAsia="仿宋" w:cs="Times New Roman"/>
          <w:b/>
          <w:color w:val="auto"/>
          <w:sz w:val="30"/>
          <w:szCs w:val="30"/>
        </w:rPr>
        <w:t>1</w:t>
      </w:r>
      <w:r>
        <w:rPr>
          <w:rFonts w:hint="eastAsia" w:ascii="Times New Roman" w:hAnsi="Times New Roman" w:cs="Times New Roman"/>
          <w:b/>
          <w:color w:val="auto"/>
          <w:sz w:val="30"/>
          <w:szCs w:val="30"/>
          <w:lang w:val="en-US" w:eastAsia="zh-CN"/>
        </w:rPr>
        <w:t>3</w:t>
      </w:r>
      <w:r>
        <w:rPr>
          <w:rFonts w:hint="eastAsia" w:ascii="Times New Roman" w:hAnsi="Times New Roman" w:eastAsia="仿宋" w:cs="Times New Roman"/>
          <w:b/>
          <w:color w:val="auto"/>
          <w:sz w:val="30"/>
          <w:szCs w:val="30"/>
          <w:lang w:eastAsia="zh-CN"/>
        </w:rPr>
        <w:t>、</w:t>
      </w:r>
      <w:r>
        <w:rPr>
          <w:rFonts w:hint="default" w:ascii="Times New Roman" w:hAnsi="Times New Roman" w:eastAsia="仿宋" w:cs="Times New Roman"/>
          <w:b/>
          <w:color w:val="auto"/>
          <w:sz w:val="30"/>
          <w:szCs w:val="30"/>
        </w:rPr>
        <w:t>附则</w:t>
      </w:r>
      <w:bookmarkEnd w:id="402"/>
      <w:bookmarkEnd w:id="403"/>
      <w:bookmarkEnd w:id="404"/>
      <w:r>
        <w:rPr>
          <w:rFonts w:hint="default" w:ascii="Times New Roman" w:hAnsi="Times New Roman" w:eastAsia="仿宋" w:cs="Times New Roman"/>
          <w:b/>
          <w:color w:val="auto"/>
          <w:sz w:val="30"/>
          <w:szCs w:val="30"/>
        </w:rPr>
        <w:t xml:space="preserve"> </w:t>
      </w:r>
    </w:p>
    <w:p>
      <w:pPr>
        <w:snapToGrid w:val="0"/>
        <w:spacing w:line="480" w:lineRule="exact"/>
        <w:ind w:firstLine="562" w:firstLineChars="200"/>
        <w:rPr>
          <w:rFonts w:hint="default" w:ascii="Times New Roman" w:hAnsi="Times New Roman" w:eastAsia="仿宋" w:cs="Times New Roman"/>
          <w:b/>
          <w:color w:val="auto"/>
          <w:sz w:val="28"/>
          <w:szCs w:val="28"/>
        </w:rPr>
      </w:pPr>
      <w:r>
        <w:rPr>
          <w:rFonts w:hint="default" w:ascii="Times New Roman" w:hAnsi="Times New Roman" w:eastAsia="仿宋" w:cs="Times New Roman"/>
          <w:b/>
          <w:color w:val="auto"/>
          <w:sz w:val="28"/>
          <w:szCs w:val="28"/>
        </w:rPr>
        <w:t xml:space="preserve">附则 1： 术语和定义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下列术语和定义适用于本预案。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1 危险物质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指《危险化学品名录》和《剧毒化学品名录》中的物质和易燃易爆物品。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2 危险废物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指列入《国家危险废物名录》或者根据危险废物鉴别标准和危险废物鉴别技术规范（HJ/T298）认定的具有危险特性的固体废物。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3 环境风险源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指可能导致突发环境事件的污染源，以及生产、贮存、经营、使用、运输危险物质或产生、收集、利用、处置危险废物的场所、设备和装置。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4 环境敏感区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根据《建设项目环境影响评价分类管理名录》规定，指依法设立的各级各类自然、文化保护地，以及对建设项目的某类污染因子或者生态影响因子特别敏感的区域。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5 环境保护目标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指在突发环境事件应急中，需要保护的环境敏感区域中可能受到影响的对象。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6 环境事件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指由于违反环境保护法律法规的经济、社会活动与行为，以及由于意外因素的影响或不可抗拒的自然灾害等原因致使环境受到污染，生态系统受到干扰，人体健康受到危害，社会财富受到损失，造成不良社会影响的事件。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7 次生衍生事件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某一突发公共事件所派生或者因处置不当而引发的环境事件。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8 突发环境事件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指突然发生，造成或者可能造成重大人员伤亡、重大财产损失和对全国或者某一地区的经济社会稳定、政治安定构成重大威胁和损害，有重大社会影响的涉及共安全的环境事件。</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9 应急救援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指突发环境事件发生时，采取的消除、减少事件危害和防止事件恶化，最大限度降低事件损失的措施。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10 应急监测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指在环境应急情况下，为发现和查明环境污染情况和污染范围而进行的环境监测，包括定点监测和动态监测。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11 恢复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指在突发环境事件的影响得到初步控制后，为使生产、生活和生态环境尽快恢复到正常状态而采取的措施或行动。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12 应急预案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指根据对可能发生的环境事件的类别、危害程度的预测，而制定的突发环境事件应急救援方案。要充分考虑现有物质、人员及环境风险源的具体条件，能及时、有效地统筹指导突发环境事件应急救援行动。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13 分类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指根据突发环境事件的发生过程、性质和机理，对不同环境事件划分的类别。</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14 分级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分级指按照突发环境事件严重性、紧急程度及危害程度，对不同环境事件划分的级别。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15 应急演练 </w:t>
      </w:r>
    </w:p>
    <w:p>
      <w:pPr>
        <w:snapToGrid w:val="0"/>
        <w:spacing w:line="24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为检验应急预案的有效性、应急准备的完善性、应急响应能力的适应性和应急人员的协同性而进行的一种模拟应急响应的实践活动。根据所涉及的内容和范围的不同，可分为单项演练、综合演练和指挥中心、现场应急组织联合进行的联合演练。</w:t>
      </w:r>
    </w:p>
    <w:p>
      <w:pPr>
        <w:snapToGrid w:val="0"/>
        <w:spacing w:line="480" w:lineRule="exact"/>
        <w:ind w:firstLine="562" w:firstLineChars="200"/>
        <w:rPr>
          <w:rFonts w:hint="eastAsia" w:ascii="Times New Roman" w:hAnsi="Times New Roman" w:eastAsia="仿宋" w:cs="Times New Roman"/>
          <w:b/>
          <w:color w:val="auto"/>
          <w:sz w:val="28"/>
          <w:szCs w:val="28"/>
        </w:rPr>
      </w:pPr>
      <w:r>
        <w:rPr>
          <w:rFonts w:hint="eastAsia" w:ascii="Times New Roman" w:hAnsi="Times New Roman" w:eastAsia="仿宋" w:cs="Times New Roman"/>
          <w:b/>
          <w:color w:val="auto"/>
          <w:sz w:val="28"/>
          <w:szCs w:val="28"/>
        </w:rPr>
        <w:t>附则</w:t>
      </w:r>
      <w:r>
        <w:rPr>
          <w:rFonts w:hint="default" w:ascii="Times New Roman" w:hAnsi="Times New Roman" w:eastAsia="仿宋" w:cs="Times New Roman"/>
          <w:b/>
          <w:color w:val="auto"/>
          <w:sz w:val="28"/>
          <w:szCs w:val="28"/>
        </w:rPr>
        <w:t>2</w:t>
      </w:r>
      <w:r>
        <w:rPr>
          <w:rFonts w:hint="eastAsia" w:ascii="Times New Roman" w:hAnsi="Times New Roman" w:eastAsia="仿宋" w:cs="Times New Roman"/>
          <w:b/>
          <w:color w:val="auto"/>
          <w:sz w:val="28"/>
          <w:szCs w:val="28"/>
        </w:rPr>
        <w:t>：</w:t>
      </w:r>
      <w:r>
        <w:rPr>
          <w:rFonts w:hint="default" w:ascii="Times New Roman" w:hAnsi="Times New Roman" w:eastAsia="仿宋" w:cs="Times New Roman"/>
          <w:b/>
          <w:color w:val="auto"/>
          <w:sz w:val="28"/>
          <w:szCs w:val="28"/>
        </w:rPr>
        <w:t xml:space="preserve"> </w:t>
      </w:r>
      <w:r>
        <w:rPr>
          <w:rFonts w:hint="eastAsia" w:ascii="Times New Roman" w:hAnsi="Times New Roman" w:eastAsia="仿宋" w:cs="Times New Roman"/>
          <w:b/>
          <w:color w:val="auto"/>
          <w:sz w:val="28"/>
          <w:szCs w:val="28"/>
        </w:rPr>
        <w:t>预案实施、管理与更新</w:t>
      </w:r>
    </w:p>
    <w:p>
      <w:pPr>
        <w:snapToGrid w:val="0"/>
        <w:spacing w:line="480" w:lineRule="exact"/>
        <w:ind w:firstLine="560" w:firstLineChars="200"/>
        <w:rPr>
          <w:rFonts w:hint="default" w:ascii="Times New Roman" w:hAnsi="Times New Roman" w:eastAsia="仿宋" w:cs="Times New Roman"/>
          <w:color w:val="auto"/>
          <w:sz w:val="28"/>
          <w:szCs w:val="28"/>
        </w:rPr>
      </w:pPr>
      <w:r>
        <w:rPr>
          <w:rFonts w:hint="eastAsia" w:ascii="Times New Roman" w:hAnsi="Times New Roman" w:eastAsia="仿宋" w:cs="Times New Roman"/>
          <w:color w:val="auto"/>
          <w:sz w:val="28"/>
          <w:szCs w:val="28"/>
          <w:lang w:eastAsia="zh-CN"/>
        </w:rPr>
        <w:t>江苏超力建材科技有限公司</w:t>
      </w:r>
      <w:r>
        <w:rPr>
          <w:rFonts w:hint="eastAsia" w:ascii="Times New Roman" w:hAnsi="Times New Roman" w:eastAsia="仿宋" w:cs="Times New Roman"/>
          <w:color w:val="auto"/>
          <w:sz w:val="28"/>
          <w:szCs w:val="28"/>
        </w:rPr>
        <w:t>突发环境事件应急预案实施、管理与更新</w:t>
      </w:r>
    </w:p>
    <w:tbl>
      <w:tblPr>
        <w:tblStyle w:val="21"/>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1"/>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Align w:val="top"/>
          </w:tcPr>
          <w:p>
            <w:pPr>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日期</w:t>
            </w:r>
          </w:p>
        </w:tc>
        <w:tc>
          <w:tcPr>
            <w:tcW w:w="6996" w:type="dxa"/>
            <w:vAlign w:val="top"/>
          </w:tcPr>
          <w:p>
            <w:pPr>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项目内容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Align w:val="top"/>
          </w:tcPr>
          <w:p>
            <w:pPr>
              <w:rPr>
                <w:rFonts w:hint="default" w:ascii="Times New Roman" w:hAnsi="Times New Roman" w:eastAsia="仿宋" w:cs="Times New Roman"/>
                <w:color w:val="auto"/>
              </w:rPr>
            </w:pPr>
          </w:p>
        </w:tc>
        <w:tc>
          <w:tcPr>
            <w:tcW w:w="6996" w:type="dxa"/>
            <w:vAlign w:val="top"/>
          </w:tcPr>
          <w:p>
            <w:pPr>
              <w:rPr>
                <w:rFonts w:hint="default" w:ascii="Times New Roman" w:hAnsi="Times New Roman" w:eastAsia="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Align w:val="top"/>
          </w:tcPr>
          <w:p>
            <w:pPr>
              <w:rPr>
                <w:rFonts w:hint="default" w:ascii="Times New Roman" w:hAnsi="Times New Roman" w:eastAsia="仿宋" w:cs="Times New Roman"/>
                <w:color w:val="auto"/>
              </w:rPr>
            </w:pPr>
          </w:p>
        </w:tc>
        <w:tc>
          <w:tcPr>
            <w:tcW w:w="6996" w:type="dxa"/>
            <w:vAlign w:val="top"/>
          </w:tcPr>
          <w:p>
            <w:pPr>
              <w:rPr>
                <w:rFonts w:hint="default" w:ascii="Times New Roman" w:hAnsi="Times New Roman" w:eastAsia="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Align w:val="top"/>
          </w:tcPr>
          <w:p>
            <w:pPr>
              <w:rPr>
                <w:rFonts w:hint="default" w:ascii="Times New Roman" w:hAnsi="Times New Roman" w:eastAsia="仿宋" w:cs="Times New Roman"/>
                <w:color w:val="auto"/>
              </w:rPr>
            </w:pPr>
          </w:p>
        </w:tc>
        <w:tc>
          <w:tcPr>
            <w:tcW w:w="6996" w:type="dxa"/>
            <w:vAlign w:val="top"/>
          </w:tcPr>
          <w:p>
            <w:pPr>
              <w:rPr>
                <w:rFonts w:hint="default" w:ascii="Times New Roman" w:hAnsi="Times New Roman" w:eastAsia="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Align w:val="top"/>
          </w:tcPr>
          <w:p>
            <w:pPr>
              <w:rPr>
                <w:rFonts w:hint="default" w:ascii="Times New Roman" w:hAnsi="Times New Roman" w:eastAsia="仿宋" w:cs="Times New Roman"/>
                <w:color w:val="auto"/>
              </w:rPr>
            </w:pPr>
          </w:p>
        </w:tc>
        <w:tc>
          <w:tcPr>
            <w:tcW w:w="6996" w:type="dxa"/>
            <w:vAlign w:val="top"/>
          </w:tcPr>
          <w:p>
            <w:pPr>
              <w:rPr>
                <w:rFonts w:hint="default" w:ascii="Times New Roman" w:hAnsi="Times New Roman" w:eastAsia="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Align w:val="top"/>
          </w:tcPr>
          <w:p>
            <w:pPr>
              <w:rPr>
                <w:rFonts w:hint="default" w:ascii="Times New Roman" w:hAnsi="Times New Roman" w:eastAsia="仿宋" w:cs="Times New Roman"/>
                <w:color w:val="auto"/>
              </w:rPr>
            </w:pPr>
          </w:p>
        </w:tc>
        <w:tc>
          <w:tcPr>
            <w:tcW w:w="6996" w:type="dxa"/>
            <w:vAlign w:val="top"/>
          </w:tcPr>
          <w:p>
            <w:pPr>
              <w:rPr>
                <w:rFonts w:hint="default" w:ascii="Times New Roman" w:hAnsi="Times New Roman" w:eastAsia="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Align w:val="top"/>
          </w:tcPr>
          <w:p>
            <w:pPr>
              <w:rPr>
                <w:rFonts w:hint="default" w:ascii="Times New Roman" w:hAnsi="Times New Roman" w:eastAsia="仿宋" w:cs="Times New Roman"/>
                <w:color w:val="auto"/>
              </w:rPr>
            </w:pPr>
          </w:p>
        </w:tc>
        <w:tc>
          <w:tcPr>
            <w:tcW w:w="6996" w:type="dxa"/>
            <w:vAlign w:val="top"/>
          </w:tcPr>
          <w:p>
            <w:pPr>
              <w:rPr>
                <w:rFonts w:hint="default" w:ascii="Times New Roman" w:hAnsi="Times New Roman" w:eastAsia="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Align w:val="top"/>
          </w:tcPr>
          <w:p>
            <w:pPr>
              <w:rPr>
                <w:rFonts w:hint="default" w:ascii="Times New Roman" w:hAnsi="Times New Roman" w:eastAsia="仿宋" w:cs="Times New Roman"/>
                <w:color w:val="auto"/>
              </w:rPr>
            </w:pPr>
          </w:p>
        </w:tc>
        <w:tc>
          <w:tcPr>
            <w:tcW w:w="6996" w:type="dxa"/>
            <w:vAlign w:val="top"/>
          </w:tcPr>
          <w:p>
            <w:pPr>
              <w:rPr>
                <w:rFonts w:hint="default" w:ascii="Times New Roman" w:hAnsi="Times New Roman" w:eastAsia="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Align w:val="top"/>
          </w:tcPr>
          <w:p>
            <w:pPr>
              <w:rPr>
                <w:rFonts w:hint="default" w:ascii="Times New Roman" w:hAnsi="Times New Roman" w:eastAsia="仿宋" w:cs="Times New Roman"/>
                <w:color w:val="auto"/>
              </w:rPr>
            </w:pPr>
          </w:p>
        </w:tc>
        <w:tc>
          <w:tcPr>
            <w:tcW w:w="6996" w:type="dxa"/>
            <w:vAlign w:val="top"/>
          </w:tcPr>
          <w:p>
            <w:pPr>
              <w:rPr>
                <w:rFonts w:hint="default" w:ascii="Times New Roman" w:hAnsi="Times New Roman" w:eastAsia="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Align w:val="top"/>
          </w:tcPr>
          <w:p>
            <w:pPr>
              <w:rPr>
                <w:rFonts w:hint="default" w:ascii="Times New Roman" w:hAnsi="Times New Roman" w:eastAsia="仿宋" w:cs="Times New Roman"/>
                <w:color w:val="auto"/>
              </w:rPr>
            </w:pPr>
          </w:p>
        </w:tc>
        <w:tc>
          <w:tcPr>
            <w:tcW w:w="6996" w:type="dxa"/>
            <w:vAlign w:val="top"/>
          </w:tcPr>
          <w:p>
            <w:pPr>
              <w:rPr>
                <w:rFonts w:hint="default" w:ascii="Times New Roman" w:hAnsi="Times New Roman" w:eastAsia="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Align w:val="top"/>
          </w:tcPr>
          <w:p>
            <w:pPr>
              <w:rPr>
                <w:rFonts w:hint="default" w:ascii="Times New Roman" w:hAnsi="Times New Roman" w:eastAsia="仿宋" w:cs="Times New Roman"/>
                <w:color w:val="auto"/>
              </w:rPr>
            </w:pPr>
          </w:p>
        </w:tc>
        <w:tc>
          <w:tcPr>
            <w:tcW w:w="6996" w:type="dxa"/>
            <w:vAlign w:val="top"/>
          </w:tcPr>
          <w:p>
            <w:pPr>
              <w:rPr>
                <w:rFonts w:hint="default" w:ascii="Times New Roman" w:hAnsi="Times New Roman" w:eastAsia="仿宋" w:cs="Times New Roman"/>
                <w:color w:val="auto"/>
              </w:rPr>
            </w:pPr>
          </w:p>
        </w:tc>
      </w:tr>
    </w:tbl>
    <w:p>
      <w:pPr>
        <w:spacing w:line="360" w:lineRule="auto"/>
        <w:ind w:firstLine="560" w:firstLineChars="200"/>
        <w:rPr>
          <w:rFonts w:hint="eastAsia" w:ascii="Times New Roman" w:hAnsi="Times New Roman" w:eastAsia="仿宋"/>
          <w:color w:val="auto"/>
          <w:sz w:val="28"/>
          <w:szCs w:val="28"/>
          <w:lang w:val="en-US" w:eastAsia="zh-CN"/>
        </w:rPr>
      </w:pPr>
    </w:p>
    <w:sectPr>
      <w:headerReference r:id="rId14" w:type="default"/>
      <w:footerReference r:id="rId15" w:type="default"/>
      <w:pgSz w:w="11906" w:h="16838"/>
      <w:pgMar w:top="1400" w:right="981" w:bottom="1281" w:left="981" w:header="851" w:footer="992"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Arial Black">
    <w:panose1 w:val="020B0A04020102020204"/>
    <w:charset w:val="00"/>
    <w:family w:val="auto"/>
    <w:pitch w:val="default"/>
    <w:sig w:usb0="00000287" w:usb1="00000000" w:usb2="00000000" w:usb3="00000000" w:csb0="2000009F" w:csb1="DFD70000"/>
  </w:font>
  <w:font w:name="MingLiU">
    <w:panose1 w:val="02020509000000000000"/>
    <w:charset w:val="88"/>
    <w:family w:val="auto"/>
    <w:pitch w:val="default"/>
    <w:sig w:usb0="A00002FF" w:usb1="28CFFCFA" w:usb2="00000016" w:usb3="00000000" w:csb0="00100001" w:csb1="00000000"/>
  </w:font>
  <w:font w:name="PMingLiU">
    <w:panose1 w:val="02020500000000000000"/>
    <w:charset w:val="88"/>
    <w:family w:val="auto"/>
    <w:pitch w:val="default"/>
    <w:sig w:usb0="A00002FF" w:usb1="28CFFCFA" w:usb2="00000016" w:usb3="00000000" w:csb0="00100001" w:csb1="00000000"/>
  </w:font>
  <w:font w:name="方正小标宋_GBK">
    <w:altName w:val="宋体"/>
    <w:panose1 w:val="03000509000000000000"/>
    <w:charset w:val="86"/>
    <w:family w:val="auto"/>
    <w:pitch w:val="default"/>
    <w:sig w:usb0="00000000" w:usb1="00000000" w:usb2="00000010" w:usb3="00000000" w:csb0="00040000" w:csb1="00000000"/>
  </w:font>
  <w:font w:name="Cambria">
    <w:panose1 w:val="02040503050406030204"/>
    <w:charset w:val="00"/>
    <w:family w:val="auto"/>
    <w:pitch w:val="default"/>
    <w:sig w:usb0="E00002FF" w:usb1="4000045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ascii="仿宋_GB2312" w:hAnsi="Calibri" w:eastAsia="仿宋_GB2312" w:cs="黑体"/>
        <w:kern w:val="2"/>
        <w:sz w:val="18"/>
        <w:szCs w:val="18"/>
        <w:lang w:val="en-US" w:eastAsia="zh-CN" w:bidi="ar-SA"/>
      </w:rPr>
      <w:pict>
        <v:rect id="文本框 1" o:spid="_x0000_s2049" o:spt="1" style="position:absolute;left:0pt;margin-top:0pt;height:144pt;width:144pt;mso-position-horizontal:center;mso-position-horizontal-relative:margin;mso-wrap-style:none;z-index:25165824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ascii="仿宋_GB2312" w:hAnsi="Calibri" w:eastAsia="仿宋_GB2312" w:cs="黑体"/>
        <w:kern w:val="2"/>
        <w:sz w:val="18"/>
        <w:szCs w:val="18"/>
        <w:lang w:val="en-US" w:eastAsia="zh-CN" w:bidi="ar-SA"/>
      </w:rPr>
      <w:pict>
        <v:rect id="文本框 25" o:spid="_x0000_s2050" o:spt="1" style="position:absolute;left:0pt;margin-top:0pt;height:144pt;width:144pt;mso-position-horizontal:center;mso-position-horizontal-relative:margin;mso-wrap-style:none;z-index:25166028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14"/>
                  <w:rPr>
                    <w:rFonts w:hint="default" w:ascii="Times New Roman" w:hAnsi="Times New Roman" w:eastAsia="宋体"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t>1</w:t>
                </w:r>
                <w:r>
                  <w:rPr>
                    <w:rFonts w:hint="default" w:ascii="Times New Roman" w:hAnsi="Times New Roman" w:cs="Times New Roman"/>
                    <w:lang w:eastAsia="zh-CN"/>
                  </w:rPr>
                  <w:fldChar w:fldCharType="end"/>
                </w:r>
              </w:p>
            </w:txbxContent>
          </v:textbox>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eastAsia="宋体"/>
        <w:sz w:val="21"/>
        <w:szCs w:val="21"/>
      </w:rPr>
    </w:pPr>
    <w:r>
      <w:rPr>
        <w:rFonts w:ascii="仿宋_GB2312" w:hAnsi="Calibri" w:eastAsia="仿宋_GB2312" w:cs="黑体"/>
        <w:kern w:val="2"/>
        <w:sz w:val="21"/>
        <w:szCs w:val="18"/>
        <w:lang w:val="en-US" w:eastAsia="zh-CN" w:bidi="ar-SA"/>
      </w:rPr>
      <w:pict>
        <v:rect id="文本框 24" o:spid="_x0000_s2051" o:spt="1" style="position:absolute;left:0pt;margin-top:0pt;height:144pt;width:144pt;mso-position-horizontal:center;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14"/>
                  <w:rPr>
                    <w:rFonts w:hint="default" w:ascii="Times New Roman" w:hAnsi="Times New Roman" w:eastAsia="宋体"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t>1</w:t>
                </w:r>
                <w:r>
                  <w:rPr>
                    <w:rFonts w:hint="default" w:ascii="Times New Roman" w:hAnsi="Times New Roman" w:cs="Times New Roman"/>
                    <w:lang w:eastAsia="zh-CN"/>
                  </w:rPr>
                  <w:fldChar w:fldCharType="end"/>
                </w:r>
              </w:p>
            </w:txbxContent>
          </v:textbox>
        </v: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eastAsia="宋体"/>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eastAsia="宋体"/>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eastAsia="宋体"/>
        <w:sz w:val="21"/>
        <w:szCs w:val="21"/>
      </w:rPr>
    </w:pPr>
    <w:r>
      <w:rPr>
        <w:rFonts w:ascii="仿宋_GB2312" w:hAnsi="Calibri" w:eastAsia="仿宋_GB2312" w:cs="黑体"/>
        <w:kern w:val="2"/>
        <w:sz w:val="21"/>
        <w:szCs w:val="18"/>
        <w:lang w:val="en-US" w:eastAsia="zh-CN" w:bidi="ar-SA"/>
      </w:rPr>
      <w:pict>
        <v:rect id="文本框 28" o:spid="_x0000_s2052" o:spt="1" style="position:absolute;left:0pt;margin-top:0pt;height:144pt;width:144pt;mso-position-horizontal:center;mso-position-horizontal-relative:margin;mso-wrap-style:none;z-index:25166131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14"/>
                  <w:rPr>
                    <w:rFonts w:hint="default" w:ascii="Times New Roman" w:hAnsi="Times New Roman" w:eastAsia="宋体"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t>1</w:t>
                </w:r>
                <w:r>
                  <w:rPr>
                    <w:rFonts w:hint="default" w:ascii="Times New Roman" w:hAnsi="Times New Roman" w:cs="Times New Roman"/>
                    <w:lang w:eastAsia="zh-CN"/>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ascii="仿宋" w:hAnsi="仿宋" w:eastAsia="仿宋" w:cs="仿宋"/>
        <w:lang w:val="en-US" w:eastAsia="zh-CN"/>
      </w:rPr>
    </w:pPr>
    <w:r>
      <w:rPr>
        <w:rFonts w:hint="eastAsia" w:ascii="仿宋" w:hAnsi="仿宋" w:eastAsia="仿宋" w:cs="仿宋"/>
        <w:lang w:eastAsia="zh-CN"/>
      </w:rPr>
      <w:t>第一部分</w:t>
    </w:r>
    <w:r>
      <w:rPr>
        <w:rFonts w:hint="eastAsia" w:ascii="仿宋" w:hAnsi="仿宋" w:eastAsia="仿宋" w:cs="仿宋"/>
        <w:lang w:val="en-US" w:eastAsia="zh-CN"/>
      </w:rPr>
      <w:t xml:space="preserve"> 突发环境事件环境风险评估报告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rPr>
        <w:rFonts w:hint="eastAsia"/>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idowControl w:val="0"/>
      <w:pBdr>
        <w:bottom w:val="single" w:color="auto" w:sz="4" w:space="0"/>
      </w:pBdr>
      <w:wordWrap/>
      <w:adjustRightInd/>
      <w:snapToGrid w:val="0"/>
      <w:ind w:firstLine="360"/>
      <w:textAlignment w:val="auto"/>
      <w:rPr>
        <w:rFonts w:hint="eastAsia" w:eastAsia="仿宋"/>
        <w:b w:val="0"/>
        <w:bCs/>
        <w:sz w:val="21"/>
        <w:szCs w:val="21"/>
        <w:u w:val="none"/>
        <w:lang w:eastAsia="zh-CN"/>
      </w:rPr>
    </w:pPr>
    <w:r>
      <w:rPr>
        <w:rFonts w:eastAsia="仿宋"/>
        <w:b w:val="0"/>
        <w:bCs/>
        <w:sz w:val="21"/>
        <w:szCs w:val="21"/>
        <w:u w:val="none"/>
      </w:rPr>
      <w:t>第</w:t>
    </w:r>
    <w:r>
      <w:rPr>
        <w:rFonts w:hint="eastAsia" w:eastAsia="仿宋"/>
        <w:b w:val="0"/>
        <w:bCs/>
        <w:sz w:val="21"/>
        <w:szCs w:val="21"/>
        <w:u w:val="none"/>
        <w:lang w:eastAsia="zh-CN"/>
      </w:rPr>
      <w:t>二</w:t>
    </w:r>
    <w:r>
      <w:rPr>
        <w:rFonts w:eastAsia="仿宋"/>
        <w:b w:val="0"/>
        <w:bCs/>
        <w:sz w:val="21"/>
        <w:szCs w:val="21"/>
        <w:u w:val="none"/>
      </w:rPr>
      <w:t>部分 突发环境事件应急</w:t>
    </w:r>
    <w:r>
      <w:rPr>
        <w:rFonts w:hint="eastAsia" w:eastAsia="仿宋"/>
        <w:b w:val="0"/>
        <w:bCs/>
        <w:sz w:val="21"/>
        <w:szCs w:val="21"/>
        <w:u w:val="none"/>
        <w:lang w:eastAsia="zh-CN"/>
      </w:rPr>
      <w:t>资源调查报告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lang w:eastAsia="zh-CN"/>
      </w:rPr>
    </w:pPr>
    <w:r>
      <w:rPr>
        <w:rFonts w:hint="eastAsia"/>
        <w:lang w:eastAsia="zh-CN"/>
      </w:rPr>
      <w:t>第二部分 突发环境事件应急资源调查报告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rPr>
        <w:rFonts w:hint="eastAsia"/>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idowControl w:val="0"/>
      <w:pBdr>
        <w:bottom w:val="single" w:color="auto" w:sz="4" w:space="0"/>
      </w:pBdr>
      <w:wordWrap/>
      <w:adjustRightInd/>
      <w:snapToGrid w:val="0"/>
      <w:ind w:firstLine="360"/>
      <w:textAlignment w:val="auto"/>
      <w:rPr>
        <w:rFonts w:hint="eastAsia" w:eastAsia="仿宋"/>
        <w:b w:val="0"/>
        <w:bCs/>
        <w:sz w:val="21"/>
        <w:szCs w:val="21"/>
        <w:u w:val="none"/>
        <w:lang w:eastAsia="zh-CN"/>
      </w:rPr>
    </w:pPr>
    <w:r>
      <w:rPr>
        <w:rFonts w:eastAsia="仿宋"/>
        <w:b w:val="0"/>
        <w:bCs/>
        <w:sz w:val="21"/>
        <w:szCs w:val="21"/>
        <w:u w:val="none"/>
      </w:rPr>
      <w:t>第</w:t>
    </w:r>
    <w:r>
      <w:rPr>
        <w:rFonts w:hint="eastAsia" w:eastAsia="仿宋"/>
        <w:b w:val="0"/>
        <w:bCs/>
        <w:sz w:val="21"/>
        <w:szCs w:val="21"/>
        <w:u w:val="none"/>
        <w:lang w:eastAsia="zh-CN"/>
      </w:rPr>
      <w:t>三</w:t>
    </w:r>
    <w:r>
      <w:rPr>
        <w:rFonts w:eastAsia="仿宋"/>
        <w:b w:val="0"/>
        <w:bCs/>
        <w:sz w:val="21"/>
        <w:szCs w:val="21"/>
        <w:u w:val="none"/>
      </w:rPr>
      <w:t>部分 突发环境事件应急</w:t>
    </w:r>
    <w:r>
      <w:rPr>
        <w:rFonts w:hint="eastAsia" w:eastAsia="仿宋"/>
        <w:b w:val="0"/>
        <w:bCs/>
        <w:sz w:val="21"/>
        <w:szCs w:val="21"/>
        <w:u w:val="none"/>
        <w:lang w:eastAsia="zh-CN"/>
      </w:rPr>
      <w:t>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55F14E"/>
    <w:multiLevelType w:val="singleLevel"/>
    <w:tmpl w:val="3955F14E"/>
    <w:lvl w:ilvl="0" w:tentative="0">
      <w:start w:val="1"/>
      <w:numFmt w:val="decimal"/>
      <w:lvlText w:val="%1."/>
      <w:lvlJc w:val="left"/>
      <w:pPr>
        <w:tabs>
          <w:tab w:val="left" w:pos="312"/>
        </w:tabs>
      </w:pPr>
    </w:lvl>
  </w:abstractNum>
  <w:abstractNum w:abstractNumId="1">
    <w:nsid w:val="57A0E440"/>
    <w:multiLevelType w:val="singleLevel"/>
    <w:tmpl w:val="57A0E440"/>
    <w:lvl w:ilvl="0" w:tentative="0">
      <w:start w:val="1"/>
      <w:numFmt w:val="decimal"/>
      <w:suff w:val="nothing"/>
      <w:lvlText w:val="（%1）"/>
      <w:lvlJc w:val="left"/>
    </w:lvl>
  </w:abstractNum>
  <w:abstractNum w:abstractNumId="2">
    <w:nsid w:val="71135ADD"/>
    <w:multiLevelType w:val="singleLevel"/>
    <w:tmpl w:val="71135ADD"/>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00000000"/>
    <w:rsid w:val="036916A6"/>
    <w:rsid w:val="06D73138"/>
    <w:rsid w:val="0C0A3CA1"/>
    <w:rsid w:val="0C83505F"/>
    <w:rsid w:val="15636F5D"/>
    <w:rsid w:val="1A325598"/>
    <w:rsid w:val="1CF84D83"/>
    <w:rsid w:val="1F557C34"/>
    <w:rsid w:val="20747892"/>
    <w:rsid w:val="219457BA"/>
    <w:rsid w:val="22C73FB3"/>
    <w:rsid w:val="23211484"/>
    <w:rsid w:val="2F2A1A85"/>
    <w:rsid w:val="33126226"/>
    <w:rsid w:val="36EC3CC1"/>
    <w:rsid w:val="375B77CE"/>
    <w:rsid w:val="38497033"/>
    <w:rsid w:val="3B331AB6"/>
    <w:rsid w:val="3D506EC9"/>
    <w:rsid w:val="414979BC"/>
    <w:rsid w:val="4AD37432"/>
    <w:rsid w:val="4C77011D"/>
    <w:rsid w:val="4DF75FC5"/>
    <w:rsid w:val="5B625B76"/>
    <w:rsid w:val="5BF4542A"/>
    <w:rsid w:val="5C682312"/>
    <w:rsid w:val="637D6695"/>
    <w:rsid w:val="652E63E7"/>
    <w:rsid w:val="6AB2686A"/>
    <w:rsid w:val="6DDD5227"/>
    <w:rsid w:val="6E3C2484"/>
    <w:rsid w:val="6F645A62"/>
    <w:rsid w:val="79776788"/>
    <w:rsid w:val="7C2D5D4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自选图形 135"/>
        <o:r id="V:Rule2" type="connector" idref="#自选图形 168"/>
        <o:r id="V:Rule3" type="connector" idref="#自选图形 169"/>
        <o:r id="V:Rule4" type="connector" idref="#自选图形 170"/>
        <o:r id="V:Rule5" type="connector" idref="#自选图形 171"/>
        <o:r id="V:Rule6" type="connector" idref="#自选图形 174"/>
        <o:r id="V:Rule7" type="connector" idref="#自选图形 176"/>
        <o:r id="V:Rule8" type="connector" idref="#自选图形 177"/>
        <o:r id="V:Rule9" type="connector" idref="#自选图形 180"/>
        <o:r id="V:Rule10" type="connector" idref="#自选图形 182"/>
        <o:r id="V:Rule11" type="connector" idref="#自选图形 185"/>
        <o:r id="V:Rule12" type="connector" idref="#自选图形 186"/>
        <o:r id="V:Rule13" type="connector" idref="#自选图形 189"/>
        <o:r id="V:Rule14" type="connector" idref="#自选图形 190"/>
        <o:r id="V:Rule15" type="connector" idref="#自选图形 191"/>
        <o:r id="V:Rule16" type="connector" idref="#自选图形 195"/>
        <o:r id="V:Rule17" type="connector" idref="#自选图形 198"/>
        <o:r id="V:Rule18" type="connector" idref="#自选图形 201"/>
        <o:r id="V:Rule19" type="connector" idref="#自选图形 202"/>
        <o:r id="V:Rule20" type="connector" idref="#自选图形 204"/>
        <o:r id="V:Rule21" type="connector" idref="#自选图形 205"/>
        <o:r id="V:Rule22" type="connector" idref="#自选图形 242"/>
        <o:r id="V:Rule23" type="connector" idref="#自选图形 248"/>
        <o:r id="V:Rule24" type="connector" idref="#自选图形 249"/>
        <o:r id="V:Rule25" type="connector" idref="#自选图形 250"/>
        <o:r id="V:Rule26" type="connector" idref="#自选图形 256"/>
        <o:r id="V:Rule27" type="connector" idref="#自选图形 257"/>
        <o:r id="V:Rule28" type="connector" idref="#自选图形 258"/>
        <o:r id="V:Rule29" type="connector" idref="#自选图形 261"/>
        <o:r id="V:Rule30" type="connector" idref="#自选图形 266"/>
        <o:r id="V:Rule31" type="connector" idref="#自选图形 267"/>
        <o:r id="V:Rule32" type="connector" idref="#自选图形 271"/>
        <o:r id="V:Rule33" type="connector" idref="#自选图形 272"/>
        <o:r id="V:Rule34" type="connector" idref="#自选图形 278"/>
        <o:r id="V:Rule35" type="connector" idref="#自选图形 279"/>
        <o:r id="V:Rule36" type="connector" idref="#自选图形 286"/>
        <o:r id="V:Rule37" type="connector" idref="#自选图形 287"/>
        <o:r id="V:Rule38" type="connector" idref="#自选图形 112"/>
        <o:r id="V:Rule39" type="connector" idref="#自选图形 113"/>
        <o:r id="V:Rule40" type="connector" idref="#自选图形 114"/>
        <o:r id="V:Rule41" type="connector" idref="#自选图形 115"/>
        <o:r id="V:Rule42" type="connector" idref="#自选图形 297"/>
        <o:r id="V:Rule43" type="connector" idref="#自选图形 298"/>
        <o:r id="V:Rule44" type="connector" idref="#自选图形 303"/>
        <o:r id="V:Rule45" type="connector" idref="#自选图形 310"/>
        <o:r id="V:Rule46" type="connector" idref="#自选图形 312"/>
        <o:r id="V:Rule47" type="connector" idref="#自选图形 313"/>
        <o:r id="V:Rule48" type="connector" idref="#自选图形 320"/>
        <o:r id="V:Rule49" type="connector" idref="#自选图形 321"/>
        <o:r id="V:Rule50" type="connector" idref="#自选图形 325"/>
        <o:r id="V:Rule51" type="connector" idref="#自选图形 332"/>
        <o:r id="V:Rule52" type="connector" idref="#自选图形 335"/>
        <o:r id="V:Rule53" type="connector" idref="#自选图形 336"/>
        <o:r id="V:Rule54" type="connector" idref="#自选图形 337"/>
        <o:r id="V:Rule55" type="connector" idref="#自选图形 348"/>
        <o:r id="V:Rule56" type="connector" idref="#自选图形 349"/>
        <o:r id="V:Rule57" type="connector" idref="#自选图形 351"/>
        <o:r id="V:Rule58" type="connector" idref="#自选图形 35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nhideWhenUsed="0" w:uiPriority="0" w:name="header"/>
    <w:lsdException w:qFormat="1" w:unhideWhenUsed="0" w:uiPriority="0"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4">
    <w:name w:val="heading 1"/>
    <w:basedOn w:val="1"/>
    <w:next w:val="1"/>
    <w:qFormat/>
    <w:uiPriority w:val="1"/>
    <w:pPr>
      <w:ind w:left="0"/>
      <w:outlineLvl w:val="1"/>
    </w:pPr>
    <w:rPr>
      <w:rFonts w:ascii="仿宋" w:hAnsi="仿宋" w:eastAsia="仿宋"/>
      <w:sz w:val="52"/>
      <w:szCs w:val="52"/>
    </w:rPr>
  </w:style>
  <w:style w:type="paragraph" w:styleId="5">
    <w:name w:val="heading 2"/>
    <w:basedOn w:val="1"/>
    <w:next w:val="1"/>
    <w:link w:val="54"/>
    <w:qFormat/>
    <w:uiPriority w:val="99"/>
    <w:pPr>
      <w:spacing w:before="100" w:beforeAutospacing="1"/>
      <w:ind w:left="108"/>
      <w:jc w:val="left"/>
      <w:outlineLvl w:val="1"/>
    </w:pPr>
    <w:rPr>
      <w:rFonts w:ascii="仿宋" w:hAnsi="仿宋" w:eastAsia="仿宋" w:cs="Times New Roman"/>
      <w:kern w:val="0"/>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paragraph" w:styleId="7">
    <w:name w:val="heading 4"/>
    <w:basedOn w:val="1"/>
    <w:next w:val="1"/>
    <w:semiHidden/>
    <w:unhideWhenUsed/>
    <w:qFormat/>
    <w:uiPriority w:val="9"/>
    <w:pPr>
      <w:keepNext/>
      <w:keepLines/>
      <w:spacing w:before="280" w:beforeAutospacing="0" w:after="290" w:afterAutospacing="0" w:line="372" w:lineRule="auto"/>
      <w:outlineLvl w:val="3"/>
    </w:pPr>
    <w:rPr>
      <w:rFonts w:ascii="Arial" w:hAnsi="Arial" w:eastAsia="黑体"/>
      <w:b/>
      <w:sz w:val="28"/>
    </w:rPr>
  </w:style>
  <w:style w:type="character" w:default="1" w:styleId="22">
    <w:name w:val="Default Paragraph Font"/>
    <w:link w:val="23"/>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index heading"/>
    <w:basedOn w:val="1"/>
    <w:next w:val="3"/>
    <w:qFormat/>
    <w:uiPriority w:val="0"/>
    <w:rPr>
      <w:rFonts w:ascii="Arial" w:hAnsi="Arial" w:cs="Arial"/>
      <w:b/>
      <w:bCs/>
    </w:rPr>
  </w:style>
  <w:style w:type="paragraph" w:styleId="3">
    <w:name w:val="index 1"/>
    <w:basedOn w:val="1"/>
    <w:next w:val="1"/>
    <w:unhideWhenUsed/>
    <w:qFormat/>
    <w:uiPriority w:val="99"/>
    <w:pPr>
      <w:adjustRightInd w:val="0"/>
      <w:snapToGrid w:val="0"/>
    </w:pPr>
    <w:rPr>
      <w:rFonts w:ascii="宋体" w:hAnsi="宋体" w:eastAsia="宋体" w:cs="宋体"/>
      <w:szCs w:val="21"/>
    </w:rPr>
  </w:style>
  <w:style w:type="paragraph" w:styleId="8">
    <w:name w:val="Normal Indent"/>
    <w:basedOn w:val="1"/>
    <w:qFormat/>
    <w:uiPriority w:val="0"/>
    <w:pPr>
      <w:adjustRightInd w:val="0"/>
      <w:snapToGrid w:val="0"/>
      <w:spacing w:line="300" w:lineRule="auto"/>
      <w:ind w:firstLine="200" w:firstLineChars="200"/>
    </w:pPr>
    <w:rPr>
      <w:rFonts w:ascii="仿宋_GB2312" w:eastAsia="仿宋_GB2312"/>
      <w:color w:val="000000"/>
      <w:sz w:val="28"/>
    </w:rPr>
  </w:style>
  <w:style w:type="paragraph" w:styleId="9">
    <w:name w:val="annotation text"/>
    <w:basedOn w:val="1"/>
    <w:semiHidden/>
    <w:qFormat/>
    <w:uiPriority w:val="0"/>
    <w:pPr>
      <w:jc w:val="left"/>
    </w:pPr>
    <w:rPr>
      <w:sz w:val="21"/>
    </w:rPr>
  </w:style>
  <w:style w:type="paragraph" w:styleId="10">
    <w:name w:val="Body Text"/>
    <w:basedOn w:val="1"/>
    <w:link w:val="53"/>
    <w:unhideWhenUsed/>
    <w:qFormat/>
    <w:uiPriority w:val="99"/>
    <w:pPr>
      <w:spacing w:before="100" w:beforeAutospacing="1"/>
      <w:ind w:left="120"/>
      <w:jc w:val="left"/>
    </w:pPr>
    <w:rPr>
      <w:rFonts w:ascii="仿宋" w:hAnsi="仿宋" w:eastAsia="仿宋" w:cs="Times New Roman"/>
      <w:kern w:val="0"/>
      <w:sz w:val="28"/>
      <w:szCs w:val="28"/>
    </w:rPr>
  </w:style>
  <w:style w:type="paragraph" w:styleId="11">
    <w:name w:val="toc 3"/>
    <w:basedOn w:val="1"/>
    <w:next w:val="1"/>
    <w:semiHidden/>
    <w:unhideWhenUsed/>
    <w:qFormat/>
    <w:uiPriority w:val="39"/>
    <w:pPr>
      <w:ind w:left="840" w:leftChars="400"/>
    </w:pPr>
  </w:style>
  <w:style w:type="paragraph" w:styleId="12">
    <w:name w:val="Plain Text"/>
    <w:basedOn w:val="1"/>
    <w:qFormat/>
    <w:uiPriority w:val="0"/>
    <w:rPr>
      <w:rFonts w:ascii="宋体" w:hAnsi="Courier New"/>
      <w:sz w:val="28"/>
    </w:rPr>
  </w:style>
  <w:style w:type="paragraph" w:styleId="13">
    <w:name w:val="Balloon Text"/>
    <w:basedOn w:val="1"/>
    <w:link w:val="55"/>
    <w:semiHidden/>
    <w:unhideWhenUsed/>
    <w:qFormat/>
    <w:uiPriority w:val="99"/>
    <w:rPr>
      <w:sz w:val="18"/>
      <w:szCs w:val="18"/>
    </w:rPr>
  </w:style>
  <w:style w:type="paragraph" w:styleId="14">
    <w:name w:val="footer"/>
    <w:basedOn w:val="1"/>
    <w:qFormat/>
    <w:uiPriority w:val="0"/>
    <w:pPr>
      <w:tabs>
        <w:tab w:val="center" w:pos="4153"/>
        <w:tab w:val="right" w:pos="8306"/>
      </w:tabs>
      <w:adjustRightInd w:val="0"/>
      <w:snapToGrid w:val="0"/>
      <w:jc w:val="left"/>
    </w:pPr>
    <w:rPr>
      <w:rFonts w:ascii="仿宋_GB2312" w:eastAsia="仿宋_GB2312"/>
      <w:sz w:val="18"/>
      <w:szCs w:val="18"/>
    </w:rPr>
  </w:style>
  <w:style w:type="paragraph" w:styleId="15">
    <w:name w:val="header"/>
    <w:basedOn w:val="1"/>
    <w:semiHidden/>
    <w:qFormat/>
    <w:uiPriority w:val="0"/>
    <w:pPr>
      <w:pBdr>
        <w:bottom w:val="single" w:color="auto" w:sz="6" w:space="1"/>
      </w:pBdr>
      <w:tabs>
        <w:tab w:val="center" w:pos="4153"/>
        <w:tab w:val="right" w:pos="8306"/>
      </w:tabs>
      <w:snapToGrid w:val="0"/>
      <w:ind w:firstLine="200" w:firstLineChars="200"/>
      <w:jc w:val="center"/>
    </w:pPr>
    <w:rPr>
      <w:sz w:val="18"/>
      <w:szCs w:val="18"/>
    </w:rPr>
  </w:style>
  <w:style w:type="paragraph" w:styleId="16">
    <w:name w:val="toc 1"/>
    <w:basedOn w:val="1"/>
    <w:next w:val="1"/>
    <w:semiHidden/>
    <w:unhideWhenUsed/>
    <w:qFormat/>
    <w:uiPriority w:val="39"/>
  </w:style>
  <w:style w:type="paragraph" w:styleId="17">
    <w:name w:val="List"/>
    <w:basedOn w:val="1"/>
    <w:qFormat/>
    <w:uiPriority w:val="0"/>
    <w:pPr>
      <w:spacing w:line="320" w:lineRule="exact"/>
      <w:jc w:val="center"/>
    </w:pPr>
    <w:rPr>
      <w:rFonts w:ascii="仿宋_GB2312" w:eastAsia="仿宋_GB2312"/>
      <w:color w:val="000000"/>
      <w:sz w:val="21"/>
      <w:szCs w:val="20"/>
    </w:rPr>
  </w:style>
  <w:style w:type="paragraph" w:styleId="18">
    <w:name w:val="toc 2"/>
    <w:basedOn w:val="1"/>
    <w:next w:val="1"/>
    <w:semiHidden/>
    <w:unhideWhenUsed/>
    <w:qFormat/>
    <w:uiPriority w:val="39"/>
    <w:pPr>
      <w:ind w:left="420" w:leftChars="200"/>
    </w:pPr>
  </w:style>
  <w:style w:type="paragraph" w:styleId="19">
    <w:name w:val="Body Text 2"/>
    <w:basedOn w:val="1"/>
    <w:qFormat/>
    <w:uiPriority w:val="0"/>
    <w:pPr>
      <w:spacing w:after="120" w:line="480" w:lineRule="auto"/>
    </w:pPr>
    <w:rPr>
      <w:sz w:val="21"/>
    </w:rPr>
  </w:style>
  <w:style w:type="paragraph" w:styleId="20">
    <w:name w:val="Normal (Web)"/>
    <w:basedOn w:val="1"/>
    <w:semiHidden/>
    <w:unhideWhenUsed/>
    <w:qFormat/>
    <w:uiPriority w:val="99"/>
    <w:pPr>
      <w:spacing w:before="0" w:beforeAutospacing="1" w:after="0" w:afterAutospacing="1"/>
      <w:ind w:left="0" w:right="0"/>
      <w:jc w:val="left"/>
    </w:pPr>
    <w:rPr>
      <w:kern w:val="0"/>
      <w:sz w:val="24"/>
      <w:lang w:val="en-US" w:eastAsia="zh-CN"/>
    </w:rPr>
  </w:style>
  <w:style w:type="paragraph" w:customStyle="1" w:styleId="23">
    <w:name w:val="样式 正文文本+首行缩进2"/>
    <w:basedOn w:val="1"/>
    <w:link w:val="22"/>
    <w:qFormat/>
    <w:uiPriority w:val="0"/>
  </w:style>
  <w:style w:type="character" w:styleId="24">
    <w:name w:val="Strong"/>
    <w:basedOn w:val="22"/>
    <w:qFormat/>
    <w:uiPriority w:val="22"/>
    <w:rPr>
      <w:b/>
    </w:rPr>
  </w:style>
  <w:style w:type="character" w:styleId="25">
    <w:name w:val="page number"/>
    <w:basedOn w:val="22"/>
    <w:qFormat/>
    <w:uiPriority w:val="0"/>
  </w:style>
  <w:style w:type="character" w:styleId="26">
    <w:name w:val="Hyperlink"/>
    <w:basedOn w:val="22"/>
    <w:semiHidden/>
    <w:unhideWhenUsed/>
    <w:qFormat/>
    <w:uiPriority w:val="99"/>
    <w:rPr>
      <w:color w:val="0000FF"/>
      <w:u w:val="single"/>
    </w:rPr>
  </w:style>
  <w:style w:type="paragraph" w:customStyle="1" w:styleId="27">
    <w:name w:val=" Char"/>
    <w:basedOn w:val="1"/>
    <w:qFormat/>
    <w:uiPriority w:val="0"/>
  </w:style>
  <w:style w:type="paragraph" w:customStyle="1" w:styleId="28">
    <w:name w:val="_Style 11"/>
    <w:basedOn w:val="1"/>
    <w:qFormat/>
    <w:uiPriority w:val="0"/>
  </w:style>
  <w:style w:type="paragraph" w:customStyle="1" w:styleId="29">
    <w:name w:val="Default1"/>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30">
    <w:name w:val="Normal"/>
    <w:qFormat/>
    <w:uiPriority w:val="0"/>
    <w:pPr>
      <w:jc w:val="both"/>
    </w:pPr>
    <w:rPr>
      <w:rFonts w:ascii="Calibri" w:hAnsi="Calibri" w:eastAsia="宋体" w:cs="宋体"/>
      <w:kern w:val="2"/>
      <w:sz w:val="21"/>
      <w:szCs w:val="21"/>
      <w:lang w:val="en-US" w:eastAsia="zh-CN" w:bidi="ar-SA"/>
    </w:rPr>
  </w:style>
  <w:style w:type="paragraph" w:customStyle="1" w:styleId="31">
    <w:name w:val="Table Paragraph"/>
    <w:basedOn w:val="1"/>
    <w:qFormat/>
    <w:uiPriority w:val="0"/>
    <w:pPr>
      <w:spacing w:before="100" w:beforeAutospacing="1"/>
      <w:jc w:val="left"/>
    </w:pPr>
    <w:rPr>
      <w:rFonts w:ascii="Calibri" w:hAnsi="Calibri" w:eastAsia="宋体" w:cs="Times New Roman"/>
      <w:kern w:val="0"/>
      <w:sz w:val="22"/>
    </w:rPr>
  </w:style>
  <w:style w:type="paragraph" w:customStyle="1" w:styleId="32">
    <w:name w:val="样式42"/>
    <w:basedOn w:val="1"/>
    <w:qFormat/>
    <w:uiPriority w:val="0"/>
    <w:pPr>
      <w:widowControl/>
      <w:spacing w:line="360" w:lineRule="auto"/>
      <w:jc w:val="center"/>
    </w:pPr>
    <w:rPr>
      <w:rFonts w:ascii="宋体" w:hAnsi="宋体" w:eastAsia="宋体" w:cs="宋体"/>
      <w:b/>
      <w:bCs/>
      <w:kern w:val="0"/>
      <w:szCs w:val="21"/>
    </w:rPr>
  </w:style>
  <w:style w:type="paragraph" w:customStyle="1" w:styleId="33">
    <w:name w:val="表格"/>
    <w:basedOn w:val="1"/>
    <w:qFormat/>
    <w:uiPriority w:val="0"/>
    <w:pPr>
      <w:snapToGrid w:val="0"/>
    </w:pPr>
    <w:rPr>
      <w:rFonts w:ascii="宋体" w:hAnsi="宋体" w:eastAsia="宋体" w:cs="宋体"/>
      <w:color w:val="000000"/>
      <w:sz w:val="24"/>
      <w:szCs w:val="24"/>
    </w:rPr>
  </w:style>
  <w:style w:type="paragraph" w:customStyle="1" w:styleId="34">
    <w:name w:val="标题四"/>
    <w:basedOn w:val="1"/>
    <w:qFormat/>
    <w:uiPriority w:val="0"/>
    <w:pPr>
      <w:keepNext/>
      <w:pBdr>
        <w:top w:val="none" w:color="000000" w:sz="0" w:space="0"/>
        <w:left w:val="none" w:color="000000" w:sz="0" w:space="0"/>
        <w:bottom w:val="none" w:color="000000" w:sz="0" w:space="0"/>
        <w:right w:val="none" w:color="000000" w:sz="0" w:space="0"/>
        <w:between w:val="none" w:color="000000" w:sz="0" w:space="0"/>
      </w:pBdr>
      <w:tabs>
        <w:tab w:val="left" w:pos="3525"/>
      </w:tabs>
      <w:adjustRightInd w:val="0"/>
      <w:snapToGrid w:val="0"/>
      <w:outlineLvl w:val="3"/>
    </w:pPr>
    <w:rPr>
      <w:rFonts w:ascii="宋体" w:hAnsi="宋体"/>
      <w:snapToGrid w:val="0"/>
      <w:color w:val="000000"/>
      <w:sz w:val="21"/>
      <w:szCs w:val="21"/>
    </w:rPr>
  </w:style>
  <w:style w:type="paragraph" w:customStyle="1" w:styleId="35">
    <w:name w:val="表格文字"/>
    <w:basedOn w:val="1"/>
    <w:qFormat/>
    <w:uiPriority w:val="0"/>
    <w:pPr>
      <w:widowControl w:val="0"/>
      <w:jc w:val="center"/>
    </w:pPr>
    <w:rPr>
      <w:rFonts w:ascii="仿宋_GB2312" w:hAnsi="Arial Black"/>
      <w:kern w:val="44"/>
    </w:rPr>
  </w:style>
  <w:style w:type="paragraph" w:customStyle="1" w:styleId="36">
    <w:name w:val="表格正文"/>
    <w:basedOn w:val="1"/>
    <w:qFormat/>
    <w:uiPriority w:val="0"/>
    <w:pPr>
      <w:spacing w:line="360" w:lineRule="exact"/>
      <w:jc w:val="center"/>
    </w:pPr>
    <w:rPr>
      <w:sz w:val="21"/>
    </w:rPr>
  </w:style>
  <w:style w:type="paragraph" w:customStyle="1" w:styleId="37">
    <w:name w:val="图文框"/>
    <w:basedOn w:val="1"/>
    <w:qFormat/>
    <w:uiPriority w:val="0"/>
    <w:pPr>
      <w:autoSpaceDE w:val="0"/>
      <w:autoSpaceDN w:val="0"/>
      <w:adjustRightInd w:val="0"/>
      <w:snapToGrid w:val="0"/>
      <w:jc w:val="center"/>
    </w:pPr>
    <w:rPr>
      <w:rFonts w:ascii="宋体"/>
      <w:color w:val="000000"/>
      <w:kern w:val="28"/>
      <w:sz w:val="21"/>
      <w:szCs w:val="20"/>
    </w:rPr>
  </w:style>
  <w:style w:type="paragraph" w:customStyle="1" w:styleId="38">
    <w:name w:val="表头"/>
    <w:basedOn w:val="1"/>
    <w:qFormat/>
    <w:uiPriority w:val="0"/>
    <w:pPr>
      <w:adjustRightInd w:val="0"/>
      <w:snapToGrid w:val="0"/>
      <w:spacing w:line="320" w:lineRule="atLeast"/>
      <w:jc w:val="center"/>
      <w:textAlignment w:val="baseline"/>
    </w:pPr>
    <w:rPr>
      <w:rFonts w:eastAsia="黑体"/>
      <w:spacing w:val="-10"/>
      <w:kern w:val="0"/>
      <w:sz w:val="21"/>
      <w:szCs w:val="20"/>
    </w:rPr>
  </w:style>
  <w:style w:type="paragraph" w:customStyle="1" w:styleId="39">
    <w:name w:val="报告表正文"/>
    <w:basedOn w:val="1"/>
    <w:qFormat/>
    <w:uiPriority w:val="0"/>
    <w:pPr>
      <w:adjustRightInd w:val="0"/>
      <w:snapToGrid w:val="0"/>
      <w:spacing w:line="360" w:lineRule="auto"/>
      <w:ind w:firstLine="480" w:firstLineChars="200"/>
      <w:jc w:val="left"/>
      <w:textAlignment w:val="baseline"/>
    </w:pPr>
    <w:rPr>
      <w:rFonts w:cs="Calibri"/>
      <w:kern w:val="0"/>
      <w:szCs w:val="20"/>
    </w:rPr>
  </w:style>
  <w:style w:type="paragraph" w:customStyle="1" w:styleId="40">
    <w:name w:val="评价正文"/>
    <w:basedOn w:val="1"/>
    <w:qFormat/>
    <w:uiPriority w:val="0"/>
    <w:pPr>
      <w:spacing w:line="500" w:lineRule="exact"/>
      <w:ind w:firstLine="480"/>
    </w:pPr>
    <w:rPr>
      <w:rFonts w:ascii="仿宋_GB2312" w:eastAsia="仿宋_GB2312"/>
      <w:kern w:val="0"/>
      <w:sz w:val="28"/>
      <w:szCs w:val="28"/>
    </w:rPr>
  </w:style>
  <w:style w:type="paragraph" w:customStyle="1" w:styleId="41">
    <w:name w:val="样式12"/>
    <w:basedOn w:val="1"/>
    <w:qFormat/>
    <w:uiPriority w:val="0"/>
    <w:pPr>
      <w:widowControl/>
      <w:spacing w:line="360" w:lineRule="auto"/>
      <w:jc w:val="left"/>
    </w:pPr>
    <w:rPr>
      <w:rFonts w:ascii="Calibri" w:hAnsi="Calibri"/>
      <w:kern w:val="1"/>
      <w:sz w:val="21"/>
      <w:szCs w:val="22"/>
    </w:rPr>
  </w:style>
  <w:style w:type="paragraph" w:customStyle="1" w:styleId="42">
    <w:name w:val="正文02"/>
    <w:basedOn w:val="1"/>
    <w:qFormat/>
    <w:uiPriority w:val="0"/>
    <w:pPr>
      <w:jc w:val="center"/>
    </w:pPr>
    <w:rPr>
      <w:kern w:val="0"/>
      <w:sz w:val="18"/>
      <w:szCs w:val="20"/>
    </w:rPr>
  </w:style>
  <w:style w:type="paragraph" w:customStyle="1" w:styleId="43">
    <w:name w:val="样式23"/>
    <w:basedOn w:val="1"/>
    <w:qFormat/>
    <w:uiPriority w:val="0"/>
    <w:pPr>
      <w:widowControl/>
      <w:spacing w:line="360" w:lineRule="auto"/>
      <w:jc w:val="left"/>
    </w:pPr>
    <w:rPr>
      <w:rFonts w:ascii="Calibri" w:hAnsi="Calibri"/>
      <w:kern w:val="1"/>
      <w:sz w:val="21"/>
      <w:szCs w:val="22"/>
    </w:rPr>
  </w:style>
  <w:style w:type="paragraph" w:customStyle="1" w:styleId="44">
    <w:name w:val="样式25"/>
    <w:basedOn w:val="1"/>
    <w:qFormat/>
    <w:uiPriority w:val="0"/>
    <w:pPr>
      <w:widowControl/>
      <w:spacing w:line="360" w:lineRule="auto"/>
      <w:jc w:val="left"/>
    </w:pPr>
    <w:rPr>
      <w:rFonts w:ascii="Calibri" w:hAnsi="Calibri"/>
      <w:kern w:val="1"/>
      <w:sz w:val="21"/>
      <w:szCs w:val="22"/>
    </w:rPr>
  </w:style>
  <w:style w:type="paragraph" w:customStyle="1" w:styleId="45">
    <w:name w:val="样式22"/>
    <w:basedOn w:val="1"/>
    <w:qFormat/>
    <w:uiPriority w:val="0"/>
    <w:pPr>
      <w:widowControl/>
      <w:spacing w:line="360" w:lineRule="auto"/>
      <w:jc w:val="left"/>
    </w:pPr>
    <w:rPr>
      <w:rFonts w:ascii="Calibri" w:hAnsi="Calibri"/>
      <w:kern w:val="1"/>
      <w:sz w:val="21"/>
      <w:szCs w:val="22"/>
    </w:rPr>
  </w:style>
  <w:style w:type="paragraph" w:customStyle="1" w:styleId="46">
    <w:name w:val="样式24"/>
    <w:basedOn w:val="1"/>
    <w:qFormat/>
    <w:uiPriority w:val="0"/>
    <w:pPr>
      <w:widowControl/>
      <w:spacing w:line="360" w:lineRule="auto"/>
      <w:jc w:val="left"/>
    </w:pPr>
    <w:rPr>
      <w:rFonts w:ascii="Calibri" w:hAnsi="Calibri"/>
      <w:kern w:val="1"/>
      <w:sz w:val="21"/>
      <w:szCs w:val="22"/>
    </w:rPr>
  </w:style>
  <w:style w:type="paragraph" w:customStyle="1" w:styleId="47">
    <w:name w:val="样式13"/>
    <w:basedOn w:val="1"/>
    <w:qFormat/>
    <w:uiPriority w:val="0"/>
    <w:pPr>
      <w:widowControl/>
      <w:spacing w:line="360" w:lineRule="auto"/>
      <w:jc w:val="left"/>
    </w:pPr>
    <w:rPr>
      <w:rFonts w:ascii="Calibri" w:hAnsi="Calibri"/>
      <w:kern w:val="1"/>
      <w:sz w:val="21"/>
      <w:szCs w:val="22"/>
    </w:rPr>
  </w:style>
  <w:style w:type="paragraph" w:customStyle="1" w:styleId="48">
    <w:name w:val="WPSOffice手动目录 1"/>
    <w:qFormat/>
    <w:uiPriority w:val="0"/>
    <w:pPr>
      <w:ind w:leftChars="0"/>
    </w:pPr>
    <w:rPr>
      <w:rFonts w:ascii="Times New Roman" w:hAnsi="Times New Roman" w:eastAsia="宋体" w:cs="Times New Roman"/>
      <w:sz w:val="20"/>
      <w:szCs w:val="20"/>
      <w:lang w:val="en-US" w:eastAsia="zh-CN" w:bidi="ar-SA"/>
    </w:rPr>
  </w:style>
  <w:style w:type="paragraph" w:customStyle="1" w:styleId="49">
    <w:name w:val="WPSOffice手动目录 2"/>
    <w:qFormat/>
    <w:uiPriority w:val="0"/>
    <w:pPr>
      <w:ind w:leftChars="200"/>
    </w:pPr>
    <w:rPr>
      <w:rFonts w:ascii="Times New Roman" w:hAnsi="Times New Roman" w:eastAsia="宋体" w:cs="Times New Roman"/>
      <w:sz w:val="20"/>
      <w:szCs w:val="20"/>
      <w:lang w:val="en-US" w:eastAsia="zh-CN" w:bidi="ar-SA"/>
    </w:rPr>
  </w:style>
  <w:style w:type="paragraph" w:customStyle="1" w:styleId="50">
    <w:name w:val="WPSOffice手动目录 3"/>
    <w:qFormat/>
    <w:uiPriority w:val="0"/>
    <w:pPr>
      <w:ind w:leftChars="400"/>
    </w:pPr>
    <w:rPr>
      <w:rFonts w:ascii="Times New Roman" w:hAnsi="Times New Roman" w:eastAsia="宋体" w:cs="Times New Roman"/>
      <w:sz w:val="20"/>
      <w:szCs w:val="20"/>
      <w:lang w:val="en-US" w:eastAsia="zh-CN" w:bidi="ar-SA"/>
    </w:rPr>
  </w:style>
  <w:style w:type="paragraph" w:customStyle="1" w:styleId="51">
    <w:name w:val="标题 002"/>
    <w:basedOn w:val="1"/>
    <w:qFormat/>
    <w:uiPriority w:val="0"/>
    <w:pPr>
      <w:ind w:firstLine="0" w:firstLineChars="0"/>
      <w:outlineLvl w:val="1"/>
    </w:pPr>
    <w:rPr>
      <w:b/>
      <w:color w:val="auto"/>
      <w:sz w:val="30"/>
      <w:szCs w:val="30"/>
    </w:rPr>
  </w:style>
  <w:style w:type="paragraph" w:customStyle="1" w:styleId="52">
    <w:name w:val="样式43"/>
    <w:basedOn w:val="1"/>
    <w:qFormat/>
    <w:uiPriority w:val="0"/>
    <w:pPr>
      <w:widowControl/>
      <w:spacing w:line="360" w:lineRule="auto"/>
      <w:jc w:val="center"/>
    </w:pPr>
    <w:rPr>
      <w:rFonts w:ascii="宋体" w:hAnsi="宋体"/>
      <w:b/>
      <w:kern w:val="1"/>
      <w:sz w:val="21"/>
      <w:szCs w:val="21"/>
    </w:rPr>
  </w:style>
  <w:style w:type="character" w:customStyle="1" w:styleId="53">
    <w:name w:val="正文文本 Char"/>
    <w:basedOn w:val="22"/>
    <w:link w:val="10"/>
    <w:qFormat/>
    <w:uiPriority w:val="99"/>
    <w:rPr>
      <w:rFonts w:ascii="仿宋" w:hAnsi="仿宋" w:eastAsia="仿宋" w:cs="Times New Roman"/>
      <w:kern w:val="0"/>
      <w:sz w:val="28"/>
      <w:szCs w:val="28"/>
    </w:rPr>
  </w:style>
  <w:style w:type="character" w:customStyle="1" w:styleId="54">
    <w:name w:val="标题 2 Char"/>
    <w:basedOn w:val="22"/>
    <w:link w:val="5"/>
    <w:qFormat/>
    <w:uiPriority w:val="99"/>
    <w:rPr>
      <w:rFonts w:ascii="仿宋" w:hAnsi="仿宋" w:eastAsia="仿宋" w:cs="Times New Roman"/>
      <w:kern w:val="0"/>
      <w:sz w:val="32"/>
      <w:szCs w:val="32"/>
    </w:rPr>
  </w:style>
  <w:style w:type="character" w:customStyle="1" w:styleId="55">
    <w:name w:val="批注框文本 Char"/>
    <w:basedOn w:val="22"/>
    <w:link w:val="13"/>
    <w:semiHidden/>
    <w:qFormat/>
    <w:uiPriority w:val="99"/>
    <w:rPr>
      <w:sz w:val="18"/>
      <w:szCs w:val="18"/>
    </w:rPr>
  </w:style>
  <w:style w:type="character" w:customStyle="1" w:styleId="56">
    <w:name w:val="font21"/>
    <w:basedOn w:val="22"/>
    <w:qFormat/>
    <w:uiPriority w:val="0"/>
    <w:rPr>
      <w:rFonts w:hint="eastAsia" w:ascii="MingLiU" w:hAnsi="MingLiU" w:eastAsia="MingLiU" w:cs="MingLiU"/>
      <w:color w:val="000000"/>
      <w:sz w:val="28"/>
      <w:szCs w:val="28"/>
      <w:u w:val="none"/>
    </w:rPr>
  </w:style>
  <w:style w:type="character" w:customStyle="1" w:styleId="57">
    <w:name w:val="font11"/>
    <w:basedOn w:val="22"/>
    <w:qFormat/>
    <w:uiPriority w:val="0"/>
    <w:rPr>
      <w:rFonts w:ascii="PMingLiU" w:hAnsi="PMingLiU" w:eastAsia="PMingLiU" w:cs="PMingLiU"/>
      <w:color w:val="000000"/>
      <w:sz w:val="28"/>
      <w:szCs w:val="28"/>
      <w:u w:val="none"/>
    </w:rPr>
  </w:style>
  <w:style w:type="character" w:customStyle="1" w:styleId="58">
    <w:name w:val="font01"/>
    <w:basedOn w:val="22"/>
    <w:qFormat/>
    <w:uiPriority w:val="0"/>
    <w:rPr>
      <w:rFonts w:hint="eastAsia" w:ascii="PMingLiU" w:hAnsi="PMingLiU" w:eastAsia="PMingLiU" w:cs="PMingLiU"/>
      <w:color w:val="000000"/>
      <w:sz w:val="28"/>
      <w:szCs w:val="28"/>
      <w:u w:val="none"/>
      <w:vertAlign w:val="superscript"/>
    </w:rPr>
  </w:style>
  <w:style w:type="character" w:customStyle="1" w:styleId="59">
    <w:name w:val="fontstyle21"/>
    <w:basedOn w:val="22"/>
    <w:qFormat/>
    <w:uiPriority w:val="0"/>
    <w:rPr>
      <w:rFonts w:hint="default" w:ascii="Times New Roman" w:hAnsi="Times New Roman" w:cs="Times New Roman"/>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jpeg"/><Relationship Id="rId31" Type="http://schemas.openxmlformats.org/officeDocument/2006/relationships/image" Target="media/image8.w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7.wmf"/><Relationship Id="rId28" Type="http://schemas.openxmlformats.org/officeDocument/2006/relationships/oleObject" Target="embeddings/oleObject6.bin"/><Relationship Id="rId27" Type="http://schemas.openxmlformats.org/officeDocument/2006/relationships/image" Target="media/image6.wmf"/><Relationship Id="rId26" Type="http://schemas.openxmlformats.org/officeDocument/2006/relationships/oleObject" Target="embeddings/oleObject5.bin"/><Relationship Id="rId25" Type="http://schemas.openxmlformats.org/officeDocument/2006/relationships/image" Target="media/image5.wmf"/><Relationship Id="rId24" Type="http://schemas.openxmlformats.org/officeDocument/2006/relationships/oleObject" Target="embeddings/oleObject4.bin"/><Relationship Id="rId23" Type="http://schemas.openxmlformats.org/officeDocument/2006/relationships/image" Target="media/image4.wmf"/><Relationship Id="rId22" Type="http://schemas.openxmlformats.org/officeDocument/2006/relationships/oleObject" Target="embeddings/oleObject3.bin"/><Relationship Id="rId21" Type="http://schemas.openxmlformats.org/officeDocument/2006/relationships/image" Target="media/image3.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2.wmf"/><Relationship Id="rId18" Type="http://schemas.openxmlformats.org/officeDocument/2006/relationships/oleObject" Target="embeddings/oleObject1.bin"/><Relationship Id="rId17" Type="http://schemas.openxmlformats.org/officeDocument/2006/relationships/image" Target="media/image1.emf"/><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30"/>
    <customShpInfo spid="_x0000_s1061"/>
    <customShpInfo spid="_x0000_s1062"/>
    <customShpInfo spid="_x0000_s1063"/>
    <customShpInfo spid="_x0000_s1064" textRotate="1"/>
    <customShpInfo spid="_x0000_s1065"/>
    <customShpInfo spid="_x0000_s1066" textRotate="1"/>
    <customShpInfo spid="_x0000_s1067" textRotate="1"/>
    <customShpInfo spid="_x0000_s1068" textRotate="1"/>
    <customShpInfo spid="_x0000_s1069" textRotate="1"/>
    <customShpInfo spid="_x0000_s1070"/>
    <customShpInfo spid="_x0000_s1071"/>
    <customShpInfo spid="_x0000_s1072" textRotate="1"/>
    <customShpInfo spid="_x0000_s1073"/>
    <customShpInfo spid="_x0000_s1074" textRotate="1"/>
    <customShpInfo spid="_x0000_s1075" textRotate="1"/>
    <customShpInfo spid="_x0000_s1076"/>
    <customShpInfo spid="_x0000_s1077"/>
    <customShpInfo spid="_x0000_s1078" textRotate="1"/>
    <customShpInfo spid="_x0000_s1079"/>
    <customShpInfo spid="_x0000_s1080" textRotate="1"/>
    <customShpInfo spid="_x0000_s1081"/>
    <customShpInfo spid="_x0000_s1082"/>
    <customShpInfo spid="_x0000_s1083" textRotate="1"/>
    <customShpInfo spid="_x0000_s1084" textRotate="1"/>
    <customShpInfo spid="_x0000_s1085"/>
    <customShpInfo spid="_x0000_s1086"/>
    <customShpInfo spid="_x0000_s1087" textRotate="1"/>
    <customShpInfo spid="_x0000_s1088" textRotate="1"/>
    <customShpInfo spid="_x0000_s1089" textRotate="1"/>
    <customShpInfo spid="_x0000_s1090"/>
    <customShpInfo spid="_x0000_s1091"/>
    <customShpInfo spid="_x0000_s1092"/>
    <customShpInfo spid="_x0000_s1093" textRotate="1"/>
    <customShpInfo spid="_x0000_s1094"/>
    <customShpInfo spid="_x0000_s1095"/>
    <customShpInfo spid="_x0000_s1096" textRotate="1"/>
    <customShpInfo spid="_x0000_s1097"/>
    <customShpInfo spid="_x0000_s1098"/>
    <customShpInfo spid="_x0000_s1099" textRotate="1"/>
    <customShpInfo spid="_x0000_s1100" textRotate="1"/>
    <customShpInfo spid="_x0000_s1101"/>
    <customShpInfo spid="_x0000_s1102" textRotate="1"/>
    <customShpInfo spid="_x0000_s1103" textRotate="1"/>
    <customShpInfo spid="_x0000_s1104"/>
    <customShpInfo spid="_x0000_s1105"/>
    <customShpInfo spid="_x0000_s1106"/>
    <customShpInfo spid="_x0000_s1107"/>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50" textRotate="1"/>
    <customShpInfo spid="_x0000_s1156" textRotate="1"/>
    <customShpInfo spid="_x0000_s1157" textRotate="1"/>
    <customShpInfo spid="_x0000_s1283"/>
    <customShpInfo spid="_x0000_s1282"/>
    <customShpInfo spid="_x0000_s1147"/>
    <customShpInfo spid="_x0000_s1145"/>
    <customShpInfo spid="_x0000_s1146"/>
    <customShpInfo spid="_x0000_s1158" textRotate="1"/>
    <customShpInfo spid="_x0000_s1295"/>
    <customShpInfo spid="_x0000_s1284"/>
    <customShpInfo spid="_x0000_s1286"/>
    <customShpInfo spid="_x0000_s1285"/>
    <customShpInfo spid="_x0000_s1154"/>
    <customShpInfo spid="_x0000_s1164" textRotate="1"/>
    <customShpInfo spid="_x0000_s1165" textRotate="1"/>
    <customShpInfo spid="_x0000_s1166" textRotate="1"/>
    <customShpInfo spid="_x0000_s1169" textRotate="1"/>
    <customShpInfo spid="_x0000_s1170"/>
    <customShpInfo spid="_x0000_s1171"/>
    <customShpInfo spid="_x0000_s1287"/>
    <customShpInfo spid="_x0000_s1174" textRotate="1"/>
    <customShpInfo spid="_x0000_s1175" textRotate="1"/>
    <customShpInfo spid="_x0000_s1289"/>
    <customShpInfo spid="_x0000_s1288"/>
    <customShpInfo spid="_x0000_s1179" textRotate="1"/>
    <customShpInfo spid="_x0000_s1180" textRotate="1"/>
    <customShpInfo spid="_x0000_s1182"/>
    <customShpInfo spid="_x0000_s1183"/>
    <customShpInfo spid="_x0000_s1292"/>
    <customShpInfo spid="_x0000_s1186" textRotate="1"/>
    <customShpInfo spid="_x0000_s1187" textRotate="1"/>
    <customShpInfo spid="_x0000_s1291"/>
    <customShpInfo spid="_x0000_s1290"/>
    <customShpInfo spid="_x0000_s1176"/>
    <customShpInfo spid="_x0000_s1190"/>
    <customShpInfo spid="_x0000_s1191"/>
    <customShpInfo spid="_x0000_s1294"/>
    <customShpInfo spid="_x0000_s1293"/>
    <customShpInfo spid="_x0000_s1194" textRotate="1"/>
    <customShpInfo spid="_x0000_s1195" textRotate="1"/>
    <customShpInfo spid="_x0000_s1196"/>
    <customShpInfo spid="_x0000_s1197" textRotate="1"/>
    <customShpInfo spid="_x0000_s1198" textRotate="1"/>
    <customShpInfo spid="_x0000_s1199" textRotate="1"/>
    <customShpInfo spid="_x0000_s1200" textRotate="1"/>
    <customShpInfo spid="_x0000_s1201"/>
    <customShpInfo spid="_x0000_s1202"/>
    <customShpInfo spid="_x0000_s1203"/>
    <customShpInfo spid="_x0000_s1204"/>
    <customShpInfo spid="_x0000_s1205"/>
    <customShpInfo spid="_x0000_s1206" textRotate="1"/>
    <customShpInfo spid="_x0000_s1207" textRotate="1"/>
    <customShpInfo spid="_x0000_s1208"/>
    <customShpInfo spid="_x0000_s1209"/>
    <customShpInfo spid="_x0000_s1210"/>
    <customShpInfo spid="_x0000_s1211"/>
    <customShpInfo spid="_x0000_s1212" textRotate="1"/>
    <customShpInfo spid="_x0000_s1213"/>
    <customShpInfo spid="_x0000_s1214"/>
    <customShpInfo spid="_x0000_s1215"/>
    <customShpInfo spid="_x0000_s1216"/>
    <customShpInfo spid="_x0000_s1217"/>
    <customShpInfo spid="_x0000_s1218"/>
    <customShpInfo spid="_x0000_s1219"/>
    <customShpInfo spid="_x0000_s1220" textRotate="1"/>
    <customShpInfo spid="_x0000_s1221"/>
    <customShpInfo spid="_x0000_s1222" textRotate="1"/>
    <customShpInfo spid="_x0000_s1223" textRotate="1"/>
    <customShpInfo spid="_x0000_s1224"/>
    <customShpInfo spid="_x0000_s1225"/>
    <customShpInfo spid="_x0000_s1226"/>
    <customShpInfo spid="_x0000_s1227"/>
    <customShpInfo spid="_x0000_s1228"/>
    <customShpInfo spid="_x0000_s1229" textRotate="1"/>
    <customShpInfo spid="_x0000_s1230" textRotate="1"/>
    <customShpInfo spid="_x0000_s1231"/>
    <customShpInfo spid="_x0000_s1232"/>
    <customShpInfo spid="_x0000_s1233"/>
    <customShpInfo spid="_x0000_s1234" textRotate="1"/>
    <customShpInfo spid="_x0000_s1235"/>
    <customShpInfo spid="_x0000_s1236"/>
    <customShpInfo spid="_x0000_s1237"/>
    <customShpInfo spid="_x0000_s1238"/>
    <customShpInfo spid="_x0000_s1239"/>
    <customShpInfo spid="_x0000_s1240"/>
    <customShpInfo spid="_x0000_s1241"/>
    <customShpInfo spid="_x0000_s1242" textRotate="1"/>
    <customShpInfo spid="_x0000_s1243"/>
    <customShpInfo spid="_x0000_s1244" textRotate="1"/>
    <customShpInfo spid="_x0000_s1245" textRotate="1"/>
    <customShpInfo spid="_x0000_s1246" textRotate="1"/>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textRotate="1"/>
    <customShpInfo spid="_x0000_s1258" textRotate="1"/>
    <customShpInfo spid="_x0000_s1262"/>
    <customShpInfo spid="_x0000_s1259" textRotate="1"/>
    <customShpInfo spid="_x0000_s1260" textRotate="1"/>
    <customShpInfo spid="_x0000_s1261"/>
    <customShpInfo spid="_x0000_s1263"/>
    <customShpInfo spid="_x0000_s1264"/>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65"/>
    <customShpInfo spid="_x0000_s1280"/>
    <customShpInfo spid="_x0000_s128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Win10NeT.COM</Company>
  <Pages>120</Pages>
  <Words>77666</Words>
  <Characters>85291</Characters>
  <Lines>126</Lines>
  <Paragraphs>35</Paragraphs>
  <TotalTime>7</TotalTime>
  <ScaleCrop>false</ScaleCrop>
  <LinksUpToDate>false</LinksUpToDate>
  <CharactersWithSpaces>94911</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2019-08-14T07:24:00Z</dcterms:created>
  <dc:creator>Administrator</dc:creator>
  <cp:lastModifiedBy>femity</cp:lastModifiedBy>
  <cp:lastPrinted>2019-12-12T09:17:00Z</cp:lastPrinted>
  <dcterms:modified xsi:type="dcterms:W3CDTF">2019-12-23T07:09:26Z</dcterms:modified>
  <dc:title>应急预案版本号：CLJCKJ-001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